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A6" w:rsidRPr="000567A6" w:rsidRDefault="000567A6" w:rsidP="000567A6">
      <w:pPr>
        <w:ind w:right="-561"/>
        <w:jc w:val="both"/>
        <w:outlineLvl w:val="0"/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</w:pPr>
      <w:bookmarkStart w:id="0" w:name="_Toc196818307"/>
      <w:r w:rsidRPr="000567A6"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  <w:t>ПРИЛОЖЕНИЯ:</w:t>
      </w:r>
      <w:bookmarkEnd w:id="0"/>
      <w:r w:rsidRPr="000567A6"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0567A6" w:rsidRPr="000567A6" w:rsidRDefault="000567A6" w:rsidP="000567A6">
      <w:pPr>
        <w:numPr>
          <w:ilvl w:val="0"/>
          <w:numId w:val="1"/>
        </w:numPr>
        <w:ind w:right="-563"/>
        <w:contextualSpacing/>
        <w:jc w:val="both"/>
        <w:outlineLvl w:val="3"/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</w:pPr>
      <w:r w:rsidRPr="000567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Критична инфраструктура (големи и дълбоки канали, язовири), която е в близост до населени места („Напоителни системи“ ЕАД);</w:t>
      </w:r>
    </w:p>
    <w:p w:rsidR="000567A6" w:rsidRPr="000567A6" w:rsidRDefault="000567A6" w:rsidP="000567A6">
      <w:pPr>
        <w:numPr>
          <w:ilvl w:val="0"/>
          <w:numId w:val="1"/>
        </w:numPr>
        <w:ind w:right="-563"/>
        <w:contextualSpacing/>
        <w:jc w:val="both"/>
        <w:outlineLvl w:val="3"/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</w:pPr>
      <w:r w:rsidRPr="000567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Презентации за жп безопасността: „Безопасност в района на жп инфраструктура“ и „Как да се държим в района на гарите“ (ДП „НКЖИ“)</w:t>
      </w:r>
    </w:p>
    <w:p w:rsidR="000567A6" w:rsidRPr="000567A6" w:rsidRDefault="000567A6" w:rsidP="000567A6">
      <w:pPr>
        <w:numPr>
          <w:ilvl w:val="0"/>
          <w:numId w:val="1"/>
        </w:numPr>
        <w:ind w:right="-563"/>
        <w:contextualSpacing/>
        <w:jc w:val="both"/>
        <w:outlineLvl w:val="3"/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</w:pPr>
      <w:r w:rsidRPr="000567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Наръчник за родителя „Дръж под око“ (БЧК)</w:t>
      </w:r>
    </w:p>
    <w:p w:rsidR="000567A6" w:rsidRPr="000567A6" w:rsidRDefault="000567A6" w:rsidP="000567A6">
      <w:pPr>
        <w:numPr>
          <w:ilvl w:val="0"/>
          <w:numId w:val="1"/>
        </w:numPr>
        <w:ind w:right="-563"/>
        <w:contextualSpacing/>
        <w:jc w:val="both"/>
        <w:outlineLvl w:val="3"/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</w:pPr>
      <w:r w:rsidRPr="000567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„Приятели с водата“ – Тетрадка за ученика (БЧК) </w:t>
      </w:r>
    </w:p>
    <w:p w:rsidR="000567A6" w:rsidRPr="000567A6" w:rsidRDefault="000567A6" w:rsidP="000567A6">
      <w:pPr>
        <w:numPr>
          <w:ilvl w:val="0"/>
          <w:numId w:val="1"/>
        </w:numPr>
        <w:ind w:right="-563"/>
        <w:contextualSpacing/>
        <w:jc w:val="both"/>
        <w:outlineLvl w:val="3"/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</w:pPr>
      <w:r w:rsidRPr="000567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„Приятели с водата“ – Книга за учителя (БЧК)</w:t>
      </w:r>
    </w:p>
    <w:p w:rsidR="000567A6" w:rsidRPr="000567A6" w:rsidRDefault="000567A6" w:rsidP="000567A6">
      <w:pPr>
        <w:numPr>
          <w:ilvl w:val="0"/>
          <w:numId w:val="1"/>
        </w:numPr>
        <w:ind w:right="-563"/>
        <w:contextualSpacing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567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Помагало за доброволци за провеждане на ателиета по </w:t>
      </w:r>
      <w:proofErr w:type="spellStart"/>
      <w:r w:rsidRPr="000567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психосоциална</w:t>
      </w:r>
      <w:proofErr w:type="spellEnd"/>
      <w:r w:rsidRPr="000567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подкрепа за деца в училище (БЧК)</w:t>
      </w:r>
    </w:p>
    <w:p w:rsidR="000567A6" w:rsidRPr="000567A6" w:rsidRDefault="000567A6" w:rsidP="000567A6">
      <w:pPr>
        <w:numPr>
          <w:ilvl w:val="0"/>
          <w:numId w:val="1"/>
        </w:numPr>
        <w:ind w:right="-563"/>
        <w:contextualSpacing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567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Кратък наръчник за родители и учители по БДП (ДАБДП)</w:t>
      </w:r>
    </w:p>
    <w:p w:rsidR="000567A6" w:rsidRPr="000567A6" w:rsidRDefault="000567A6" w:rsidP="000567A6">
      <w:pPr>
        <w:numPr>
          <w:ilvl w:val="0"/>
          <w:numId w:val="1"/>
        </w:numPr>
        <w:ind w:right="-563"/>
        <w:contextualSpacing/>
        <w:jc w:val="both"/>
        <w:outlineLvl w:val="3"/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</w:pPr>
      <w:r w:rsidRPr="000567A6"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  <w:t>Презентации за здравословен живот: „10 стъпки за спиране на цигарите“, „Алкохол и ПТП“, „Вреда от пушене и алкохол“, „Детска безопасност“, „Помагало при предозиране с ПАВ“, „Стоп на тютюнопушенето“ (МЗ)</w:t>
      </w:r>
    </w:p>
    <w:p w:rsidR="000567A6" w:rsidRPr="000567A6" w:rsidRDefault="000567A6" w:rsidP="000567A6">
      <w:pPr>
        <w:ind w:right="-563"/>
        <w:jc w:val="both"/>
        <w:outlineLvl w:val="3"/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</w:pPr>
    </w:p>
    <w:p w:rsidR="000567A6" w:rsidRPr="000567A6" w:rsidRDefault="000567A6" w:rsidP="000567A6">
      <w:pPr>
        <w:ind w:right="-563"/>
        <w:jc w:val="both"/>
        <w:outlineLvl w:val="3"/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</w:pPr>
      <w:r w:rsidRPr="000567A6">
        <w:rPr>
          <w:rFonts w:ascii="Times New Roman" w:eastAsia="Open Sans Bold" w:hAnsi="Times New Roman" w:cs="Times New Roman"/>
          <w:b/>
          <w:bCs/>
          <w:sz w:val="24"/>
          <w:szCs w:val="24"/>
          <w:lang w:eastAsia="bg-BG"/>
        </w:rPr>
        <w:t>СЪДЪРЖАНИЕ:</w:t>
      </w:r>
    </w:p>
    <w:p w:rsidR="000567A6" w:rsidRPr="000567A6" w:rsidRDefault="000567A6" w:rsidP="000567A6">
      <w:pPr>
        <w:ind w:right="-563"/>
        <w:jc w:val="both"/>
        <w:outlineLvl w:val="3"/>
        <w:rPr>
          <w:rFonts w:ascii="Times New Roman" w:eastAsia="Open Sans Bold" w:hAnsi="Times New Roman" w:cs="Times New Roman"/>
          <w:bCs/>
          <w:lang w:eastAsia="bg-BG"/>
        </w:rPr>
      </w:pPr>
      <w:r w:rsidRPr="000567A6">
        <w:rPr>
          <w:rFonts w:ascii="Times New Roman" w:eastAsia="Open Sans Bold" w:hAnsi="Times New Roman" w:cs="Times New Roman"/>
          <w:b/>
          <w:bCs/>
          <w:lang w:eastAsia="bg-BG"/>
        </w:rPr>
        <w:t>Общи положения:</w:t>
      </w:r>
      <w:r w:rsidRPr="000567A6">
        <w:rPr>
          <w:rFonts w:ascii="Times New Roman" w:eastAsia="Open Sans Bold" w:hAnsi="Times New Roman" w:cs="Times New Roman"/>
          <w:bCs/>
          <w:lang w:eastAsia="bg-BG"/>
        </w:rPr>
        <w:t>………………...................................................................................................................1</w:t>
      </w:r>
    </w:p>
    <w:p w:rsidR="000567A6" w:rsidRPr="000567A6" w:rsidRDefault="000567A6" w:rsidP="000567A6">
      <w:pPr>
        <w:ind w:right="-563"/>
        <w:jc w:val="both"/>
        <w:outlineLvl w:val="3"/>
        <w:rPr>
          <w:rFonts w:ascii="Times New Roman" w:eastAsia="Open Sans Bold" w:hAnsi="Times New Roman" w:cs="Times New Roman"/>
          <w:bCs/>
          <w:lang w:eastAsia="bg-BG"/>
        </w:rPr>
      </w:pPr>
      <w:r w:rsidRPr="000567A6">
        <w:rPr>
          <w:rFonts w:ascii="Times New Roman" w:eastAsia="Open Sans Bold" w:hAnsi="Times New Roman" w:cs="Times New Roman"/>
          <w:b/>
          <w:bCs/>
          <w:lang w:eastAsia="bg-BG"/>
        </w:rPr>
        <w:t>Автор на насоките</w:t>
      </w:r>
      <w:r w:rsidRPr="000567A6">
        <w:rPr>
          <w:rFonts w:ascii="Times New Roman" w:eastAsia="Open Sans Bold" w:hAnsi="Times New Roman" w:cs="Times New Roman"/>
          <w:bCs/>
          <w:lang w:eastAsia="bg-BG"/>
        </w:rPr>
        <w:t>:…………………………………………………………………………………………..6</w:t>
      </w:r>
    </w:p>
    <w:p w:rsidR="000567A6" w:rsidRPr="000567A6" w:rsidRDefault="000567A6" w:rsidP="000567A6">
      <w:pPr>
        <w:ind w:right="-563"/>
        <w:jc w:val="both"/>
        <w:outlineLvl w:val="3"/>
        <w:rPr>
          <w:rFonts w:ascii="Times New Roman" w:eastAsia="Open Sans Bold" w:hAnsi="Times New Roman" w:cs="Times New Roman"/>
          <w:b/>
          <w:bCs/>
          <w:lang w:eastAsia="bg-BG"/>
        </w:rPr>
      </w:pPr>
      <w:r w:rsidRPr="000567A6">
        <w:rPr>
          <w:rFonts w:ascii="Times New Roman" w:eastAsia="Open Sans Bold" w:hAnsi="Times New Roman" w:cs="Times New Roman"/>
          <w:b/>
          <w:bCs/>
          <w:lang w:eastAsia="bg-BG"/>
        </w:rPr>
        <w:t>Използвани съкращения</w:t>
      </w:r>
      <w:r w:rsidRPr="000567A6">
        <w:rPr>
          <w:rFonts w:ascii="Times New Roman" w:eastAsia="Open Sans Bold" w:hAnsi="Times New Roman" w:cs="Times New Roman"/>
          <w:bCs/>
          <w:lang w:eastAsia="bg-BG"/>
        </w:rPr>
        <w:t xml:space="preserve">:…………………………………………………………………………………..6 </w:t>
      </w:r>
    </w:p>
    <w:sdt>
      <w:sdtPr>
        <w:rPr>
          <w:rFonts w:ascii="Calibri" w:eastAsia="Times New Roman" w:hAnsi="Calibri" w:cs="Times New Roman"/>
          <w:lang w:eastAsia="bg-BG"/>
        </w:rPr>
        <w:id w:val="2503163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567A6" w:rsidRPr="000567A6" w:rsidRDefault="000567A6" w:rsidP="000567A6">
          <w:pPr>
            <w:keepNext/>
            <w:keepLines/>
            <w:spacing w:before="240" w:after="0"/>
            <w:rPr>
              <w:rFonts w:ascii="Times New Roman" w:eastAsia="Open Sans Bold" w:hAnsi="Times New Roman" w:cs="Times New Roman"/>
              <w:b/>
              <w:bCs/>
              <w:color w:val="0563C1"/>
              <w:highlight w:val="lightGray"/>
              <w:u w:val="single" w:color="1A62FF"/>
            </w:rPr>
          </w:pPr>
          <w:r w:rsidRPr="000567A6">
            <w:rPr>
              <w:rFonts w:ascii="Aptos Display" w:eastAsia="Times New Roman" w:hAnsi="Aptos Display" w:cs="Times New Roman"/>
              <w:color w:val="0F4761"/>
              <w:sz w:val="32"/>
              <w:szCs w:val="32"/>
            </w:rPr>
            <w:fldChar w:fldCharType="begin"/>
          </w:r>
          <w:r w:rsidRPr="000567A6">
            <w:rPr>
              <w:rFonts w:ascii="Aptos Display" w:eastAsia="Times New Roman" w:hAnsi="Aptos Display" w:cs="Times New Roman"/>
              <w:color w:val="0F4761"/>
              <w:sz w:val="32"/>
              <w:szCs w:val="32"/>
            </w:rPr>
            <w:instrText xml:space="preserve"> TOC \o "1-3" \h \z \u </w:instrText>
          </w:r>
          <w:r w:rsidRPr="000567A6">
            <w:rPr>
              <w:rFonts w:ascii="Aptos Display" w:eastAsia="Times New Roman" w:hAnsi="Aptos Display" w:cs="Times New Roman"/>
              <w:color w:val="0F4761"/>
              <w:sz w:val="32"/>
              <w:szCs w:val="32"/>
            </w:rPr>
            <w:fldChar w:fldCharType="separate"/>
          </w:r>
          <w:hyperlink w:anchor="_Toc196818219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Списък на използваните термини и определения:………………………………………………….</w:t>
            </w:r>
            <w:r w:rsidRPr="000567A6">
              <w:rPr>
                <w:rFonts w:ascii="Times New Roman" w:eastAsia="Open Sans Bold" w:hAnsi="Times New Roman" w:cs="Times New Roman"/>
                <w:b/>
                <w:bCs/>
                <w:webHidden/>
                <w:color w:val="0563C1"/>
                <w:highlight w:val="lightGray"/>
                <w:u w:val="single" w:color="1A62FF"/>
              </w:rPr>
              <w:tab/>
            </w:r>
            <w:r w:rsidRPr="000567A6">
              <w:rPr>
                <w:rFonts w:ascii="Times New Roman" w:eastAsia="Open Sans Bold" w:hAnsi="Times New Roman" w:cs="Times New Roman"/>
                <w:bCs/>
                <w:webHidden/>
                <w:color w:val="0563C1"/>
                <w:highlight w:val="lightGray"/>
                <w:u w:val="single" w:color="1A62FF"/>
              </w:rPr>
              <w:fldChar w:fldCharType="begin"/>
            </w:r>
            <w:r w:rsidRPr="000567A6">
              <w:rPr>
                <w:rFonts w:ascii="Times New Roman" w:eastAsia="Open Sans Bold" w:hAnsi="Times New Roman" w:cs="Times New Roman"/>
                <w:bCs/>
                <w:webHidden/>
                <w:color w:val="0563C1"/>
                <w:highlight w:val="lightGray"/>
                <w:u w:val="single" w:color="1A62FF"/>
              </w:rPr>
              <w:instrText xml:space="preserve"> PAGEREF _Toc196818219 \h </w:instrText>
            </w:r>
            <w:r w:rsidRPr="000567A6">
              <w:rPr>
                <w:rFonts w:ascii="Times New Roman" w:eastAsia="Open Sans Bold" w:hAnsi="Times New Roman" w:cs="Times New Roman"/>
                <w:bCs/>
                <w:webHidden/>
                <w:color w:val="0563C1"/>
                <w:highlight w:val="lightGray"/>
                <w:u w:val="single" w:color="1A62FF"/>
              </w:rPr>
            </w:r>
            <w:r w:rsidRPr="000567A6">
              <w:rPr>
                <w:rFonts w:ascii="Times New Roman" w:eastAsia="Open Sans Bold" w:hAnsi="Times New Roman" w:cs="Times New Roman"/>
                <w:bCs/>
                <w:webHidden/>
                <w:color w:val="0563C1"/>
                <w:highlight w:val="lightGray"/>
                <w:u w:val="single" w:color="1A62FF"/>
              </w:rPr>
              <w:fldChar w:fldCharType="separate"/>
            </w:r>
            <w:r w:rsidRPr="000567A6">
              <w:rPr>
                <w:rFonts w:ascii="Times New Roman" w:eastAsia="Open Sans Bold" w:hAnsi="Times New Roman" w:cs="Times New Roman"/>
                <w:bCs/>
                <w:webHidden/>
                <w:color w:val="0563C1"/>
                <w:highlight w:val="lightGray"/>
                <w:u w:val="single" w:color="1A62FF"/>
              </w:rPr>
              <w:t>18</w:t>
            </w:r>
            <w:r w:rsidRPr="000567A6">
              <w:rPr>
                <w:rFonts w:ascii="Times New Roman" w:eastAsia="Open Sans Bold" w:hAnsi="Times New Roman" w:cs="Times New Roman"/>
                <w:bCs/>
                <w:webHidden/>
                <w:color w:val="0563C1"/>
                <w:highlight w:val="lightGray"/>
                <w:u w:val="single" w:color="1A62FF"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20" w:history="1">
            <w:r w:rsidRPr="000567A6">
              <w:rPr>
                <w:rFonts w:ascii="Times New Roman" w:eastAsia="Old Standard" w:hAnsi="Times New Roman" w:cs="Times New Roman"/>
                <w:noProof/>
                <w:color w:val="0563C1"/>
                <w:u w:val="single"/>
              </w:rPr>
              <w:t>РАЗДЕЛ 1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_Toc196818220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27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21" w:history="1">
            <w:r w:rsidRPr="000567A6">
              <w:rPr>
                <w:rFonts w:ascii="Times New Roman" w:eastAsia="Rubik Light Bold" w:hAnsi="Times New Roman" w:cs="Times New Roman"/>
                <w:b/>
                <w:noProof/>
                <w:color w:val="0563C1"/>
                <w:u w:val="single"/>
              </w:rPr>
              <w:t>СПЕЦИАЛИЗИРАНА ЗАКРИЛА НА ДЕЦА НА ОБЩЕСТВЕНИ МЕСТА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_Toc196818221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27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22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1. Изисквания за придружаване на дете на обществено място от пълнолетно дееспособно лице за придружител, след определен час и диференцирани, съобразно възрастта на детето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_Toc196818222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27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23" w:history="1">
            <w:r w:rsidRPr="000567A6">
              <w:rPr>
                <w:rFonts w:ascii="Times New Roman" w:eastAsia="Old Standard" w:hAnsi="Times New Roman" w:cs="Times New Roman"/>
                <w:noProof/>
                <w:color w:val="0563C1"/>
                <w:u w:val="single"/>
              </w:rPr>
              <w:t>РАЗДЕЛ 2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_Toc196818223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31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24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ПРАВИЛА ЗА БЕЗОПАСНОСТ ПРИ ПОЛЗВАНЕ НА ОБЩЕСТВЕН ТРАНСПОРТ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_Toc196818224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31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25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2.1 Подходящо поведение на участниците в движението по пътищата в качеството им на пешеходци.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_Toc196818225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31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26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2.2 Подходящо поведение на участниците в движението по пътищата в качеството им на пътници.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_Toc196818226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34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27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2.2.1. Организиран превоз на деца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_Toc196818227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36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28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2.3. Подходящо поведение на участниците в движението по пътищата в качеството им на водачи.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_Toc196818228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40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29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2.4. Правила за безопасно поведение в районите на железопътния транспорт.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_Toc196818229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43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30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2.4.1. Как да преминаваме през железопътните линии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_Toc196818230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43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31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2.4.2.</w:t>
            </w:r>
            <w:r w:rsidRPr="000567A6">
              <w:rPr>
                <w:rFonts w:ascii="Times New Roman" w:eastAsia="Calibri" w:hAnsi="Times New Roman" w:cs="Times New Roman"/>
                <w:noProof/>
                <w:color w:val="0563C1"/>
                <w:u w:val="single"/>
              </w:rPr>
              <w:t xml:space="preserve"> </w:t>
            </w:r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Рисуване на графити върху влакове, селфи, хвърляне на камъни по влаковете и поставяне на предмети върху железопътните релси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_Toc196818231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45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32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2.4.3. Безопасно придвижване в района на гара или междугарие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_Toc196818232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45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33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2.4.4. Безопасност при качване, слизане и пътуване с влак: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_Toc196818233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46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34" w:history="1">
            <w:r w:rsidRPr="000567A6">
              <w:rPr>
                <w:rFonts w:ascii="Times New Roman" w:eastAsia="Old Standard" w:hAnsi="Times New Roman" w:cs="Times New Roman"/>
                <w:noProof/>
                <w:color w:val="0563C1"/>
                <w:u w:val="single"/>
              </w:rPr>
              <w:t>РАЗДЕЛ 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_Toc196818234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48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35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ПРАВИЛА ЗА БЕЗОПАСНОСТ НА ДЕЦАТА КАТО ПОТРЕБИТЕЛИ НА ОПРЕДЕЛЕНИ СТОКИ И УСЛУГИ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_Toc196818235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48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36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3.1. Изисквания за безопасност на обществено достъпни площадки за игра, разположени на открито и на закрито /в търговски центрове, заведения за хранене и развлечения, хотели, детски градини и др.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_Toc196818236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48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37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3.2. Електрически тротинетки и велосипеди за ползване по обществени пътища – рискове от инциденти и наранявания при използване на продуктите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_Toc196818237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48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38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3.3. Пиротехнически изделия. Изисквания за пиротехнически изделия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_Toc196818238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49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39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3.4. Играчки. Изисквания за играчките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_Toc196818239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51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40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3.5. Радиосъоръжения. Изисквания за радиосъоръженията</w:t>
            </w:r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.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_Toc196818240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53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41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3.6. Асансьори. Изисквания за асансьори</w:t>
            </w:r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.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_Toc196818241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54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42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3.7 Електрически уреди. Изисквания за електрическите уреди</w:t>
            </w:r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</w:rPr>
              <w:t>.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_Toc196818242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55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43" w:history="1">
            <w:r w:rsidRPr="000567A6">
              <w:rPr>
                <w:rFonts w:ascii="Times New Roman" w:eastAsia="Old Standard" w:hAnsi="Times New Roman" w:cs="Times New Roman"/>
                <w:noProof/>
                <w:color w:val="0563C1"/>
                <w:u w:val="single"/>
              </w:rPr>
              <w:t>РАЗДЕЛ 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_Toc196818243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57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44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ПРЕВЕНЦИЯ НА УПОТРЕБАТА НА АЛКОХОЛ, НИКОТИН И ПРОИЗВОДНИ ИЗДЕЛИЯ, ПСИХОАКТИВНИ ВЕЩЕСТВА (ПАВ) И ОТГОВОРНОСТТА НА РОДИТЕЛИТЕ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_Toc196818244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57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45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4.1. Алкохол и вредите от употребата му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_Toc196818245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57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46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4.2. Изисквания за никотин и производни изделия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_Toc196818246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60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47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4.3.  Рискове от употребата на енергийни напитки и райски газ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_Toc196818247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65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48" w:history="1"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</w:rPr>
              <w:t>Регулиране на енергийните напитки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_Toc196818248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65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49" w:history="1"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</w:rPr>
              <w:t>Здравни рискове, свързани с високата консумация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_Toc196818249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66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50" w:history="1"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</w:rPr>
              <w:t>Производство и предлагане на енергийни напитки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_Toc196818250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66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51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  <w:shd w:val="clear" w:color="auto" w:fill="FFFFFF"/>
              </w:rPr>
              <w:t>Вреди от употребата на диазотен оксид (райски газ)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_Toc196818251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67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52" w:history="1">
            <w:r w:rsidRPr="000567A6">
              <w:rPr>
                <w:rFonts w:ascii="Times New Roman" w:eastAsia="Old Standard" w:hAnsi="Times New Roman" w:cs="Times New Roman"/>
                <w:noProof/>
                <w:color w:val="0563C1"/>
                <w:u w:val="single"/>
              </w:rPr>
              <w:t>РАЗДЕЛ 5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_Toc196818252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70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53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СПЕЦИАЛИЗИРАНА ЗАКРИЛА НА ДЕЦА В ТЪРГОВСКИ ОБЕКТИ, СПОРТНИ ОБЕКТИ И В ОНЛАЙН ПРОСТРАНСТВОТО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_Toc196818253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70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54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5.1. Специализирана закрила в МОЛ-ве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_Toc196818254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70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55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5.2. Специализирана закрила на стадиони и при спортни мероприятия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_Toc196818255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71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56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5.3. Правила за безопасност на децата и учениците в компютърната мрежа в детската градина, училището и в интернет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_Toc196818256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72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57" w:history="1">
            <w:r w:rsidRPr="000567A6">
              <w:rPr>
                <w:rFonts w:ascii="Times New Roman" w:eastAsia="Old Standard" w:hAnsi="Times New Roman" w:cs="Times New Roman"/>
                <w:noProof/>
                <w:color w:val="0563C1"/>
                <w:u w:val="single"/>
              </w:rPr>
              <w:t>РАЗДЕЛ 6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_Toc196818257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73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58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ПРАВИЛА ЗА БЕЗОПАСНОСТ ПРИ ПОЛЗВАНЕ НА ВОДНИ ПЛОЩИ И ПРИ БЕДСТВИЯ, ПОЖАРИ И ИЗВЪНРЕДНИ СИТУАЦИИ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_Toc196818258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73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59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6.1. Правила за безопасност на децата и учениците при ползване на водни площи – реки, езера, язовири и микроязовири, открити канали и крайбрежните морски води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_Toc196818259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73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60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  <w:lang w:eastAsia="bg-BG"/>
              </w:rPr>
              <w:t>6.1.1.</w:t>
            </w:r>
            <w:r w:rsidRPr="000567A6">
              <w:rPr>
                <w:rFonts w:ascii="Times New Roman" w:eastAsia="Calibri" w:hAnsi="Times New Roman" w:cs="Times New Roman"/>
                <w:noProof/>
                <w:color w:val="0563C1"/>
                <w:u w:val="single"/>
                <w:lang w:eastAsia="bg-BG"/>
              </w:rPr>
              <w:t xml:space="preserve"> </w:t>
            </w:r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</w:rPr>
              <w:t>Правила за безопасност на децата и учениците при ползване на водни площи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_Toc196818260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74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61" w:history="1"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  <w:lang w:eastAsia="bg-BG"/>
              </w:rPr>
              <w:t>6.1.2. Правилата за безопасност на децата и учениците при ползване на реки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_Toc196818261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76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62" w:history="1"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  <w:lang w:eastAsia="bg-BG"/>
              </w:rPr>
              <w:t>6.1.3. Правилата за безопасност на децата и учениците при ползване на езера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_Toc196818262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77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63" w:history="1"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  <w:lang w:eastAsia="bg-BG"/>
              </w:rPr>
              <w:t>6.1.4. Правилата за безопасност на децата и учениците при ползване на язовири и микроязовири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_Toc196818263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79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64" w:history="1"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  <w:lang w:eastAsia="bg-BG"/>
              </w:rPr>
              <w:t>6.1.5. Безопасността на децата и учениците при ползване на открити канали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_Toc196818264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81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65" w:history="1"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  <w:lang w:eastAsia="bg-BG"/>
              </w:rPr>
              <w:t>6.1.6. Безопасността на децата и учениците при ползване на крайбрежните морски води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_Toc196818265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82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66" w:history="1"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  <w:lang w:eastAsia="bg-BG"/>
              </w:rPr>
              <w:t>6.2. Инструкции за безопасност при ползване на плавателни съдове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_Toc196818266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84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67" w:history="1">
            <w:r w:rsidRPr="000567A6">
              <w:rPr>
                <w:rFonts w:ascii="Sofia Sans" w:eastAsia="Calibri" w:hAnsi="Sofia Sans" w:cs="Times New Roman"/>
                <w:b/>
                <w:noProof/>
                <w:color w:val="0563C1"/>
                <w:u w:val="single"/>
              </w:rPr>
              <w:t xml:space="preserve">6.2.1. </w:t>
            </w:r>
            <w:r w:rsidRPr="000567A6">
              <w:rPr>
                <w:rFonts w:ascii="Sofia Sans" w:eastAsia="Calibri" w:hAnsi="Sofia Sans" w:cs="Times New Roman"/>
                <w:b/>
                <w:bCs/>
                <w:noProof/>
                <w:color w:val="0563C1"/>
                <w:u w:val="single"/>
              </w:rPr>
              <w:t>На лицата, ползвателите на плавателния съд се: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_Toc196818267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84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68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  <w:lang w:eastAsia="bg-BG"/>
              </w:rPr>
              <w:t>6.2.2. Изисквания към ползвателите на водно колело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_Toc196818268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85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69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6.2. Бедствия, пожари и извънредни ситуации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_Toc196818269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86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70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6.2.1. Общи положения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_Toc196818270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86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71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6.2.2. ПОЖАР У ДОМА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_Toc196818271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89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72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6.2.3. ПОЖАР НА ОБЩЕСТВЕНО МЯСТО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_Toc196818272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93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73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6.2.4 ГОРСКИ ПОЖАР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_Toc196818273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94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74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6.2.5. ЗЕМЕТРЕСЕНИЕ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_Toc196818274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95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75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6.2.6. НАВОДНЕНИЕ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_Toc196818275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96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76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6.2.7. УСЛОЖНЕНА ЗИМНА ОБСТАНОВКА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_Toc196818276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98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77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6.2.8. ГРЪМОТЕВИЧНА БУРЯ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_Toc196818277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98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78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6.2.9. СИЛЕН ВЯТЪР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_Toc196818278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99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79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6.2.10. ХИМИЧЕСКО/РАДИАЦИОННО ЗАМЪРСЯВАНЕ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_Toc196818279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99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80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6.2.11. НАЦИОНАЛНА СИСТЕМА ЗА РАННО ПРЕДУПРЕЖДЕНИЕ И ОПОВЕСТЯВАНЕ (НСРПО)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_Toc196818280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100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81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6.2.12. РАНИЦА ЗА БЕДСТВИЯ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_Toc196818281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101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82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6.2.13. СЕМЕЕН ПЛАН ЗА БЕДСТВИЯ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_Toc196818282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102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84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6.2.14. ИЗТОЧНИЦИ ЗА ПОВЕЧЕ ИНФОРМАЦИЯ, СВЪРЗАНА С ПОЖАРНАТА БЕЗОПАСНОСТ И ЗАЩИТАТА НА НАСЕЛЕНИЕТО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_Toc196818284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85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 w:color="1A62FF"/>
              </w:rPr>
              <w:t>6.3. Действия и реакция при кризисна ситуация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_Toc196818285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86" w:history="1">
            <w:r w:rsidRPr="000567A6">
              <w:rPr>
                <w:rFonts w:ascii="Times New Roman" w:eastAsia="Old Standard" w:hAnsi="Times New Roman" w:cs="Times New Roman"/>
                <w:noProof/>
                <w:color w:val="0563C1"/>
                <w:u w:val="single"/>
              </w:rPr>
              <w:t>РАЗДЕЛ 7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_Toc196818286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87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ПРЕДОТВРАТЯВАНЕ НА РИСКОВО ПОВЕДЕНИЕ НА ОПАСНИ СГРАДИ И В ПЛАНИНИТЕ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_Toc196818287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88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7.1. Предотвратяване на рисково поведение на опасни сгради и строежи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_Toc196818288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89" w:history="1">
            <w:r w:rsidRPr="000567A6">
              <w:rPr>
                <w:rFonts w:ascii="Times New Roman" w:eastAsia="Calibri" w:hAnsi="Times New Roman" w:cs="Times New Roman"/>
                <w:noProof/>
                <w:color w:val="0563C1"/>
                <w:u w:val="single"/>
              </w:rPr>
              <w:t>Превантивни мерки – иницииране на проверки от кметовете на общини на изоставени обществени сгради на територията на съответната община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_Toc196818289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90" w:history="1"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</w:rPr>
              <w:t>7.1.1 Как да се разпознае опасния строеж?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_Toc196818290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91" w:history="1">
            <w:r w:rsidRPr="000567A6">
              <w:rPr>
                <w:rFonts w:ascii="Times New Roman" w:eastAsia="Calibri" w:hAnsi="Times New Roman" w:cs="Times New Roman"/>
                <w:b/>
                <w:bCs/>
                <w:noProof/>
                <w:color w:val="0563C1"/>
                <w:u w:val="single"/>
              </w:rPr>
              <w:t>7.1.1 Как да се реагира срещу опасния строеж?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_Toc196818291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92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 w:color="1A62FF"/>
              </w:rPr>
              <w:t>7.2. Предотвратяване на рисково поведение в планините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_Toc196818292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105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93" w:history="1">
            <w:r w:rsidRPr="000567A6">
              <w:rPr>
                <w:rFonts w:ascii="Times New Roman" w:eastAsia="Old Standard" w:hAnsi="Times New Roman" w:cs="Times New Roman"/>
                <w:noProof/>
                <w:color w:val="0563C1"/>
                <w:u w:val="single"/>
              </w:rPr>
              <w:t>РАЗДЕЛ 8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_Toc196818293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109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94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СЪВЕТИ ЗА ОКАЗВАНЕ НА ПЪРВА ПОМОЩ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_Toc196818294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109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95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8.1. Ухапване от животно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_Toc196818295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109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96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8.2. Измръзване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_Toc196818296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110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97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  <w:shd w:val="clear" w:color="auto" w:fill="FCF9EA"/>
              </w:rPr>
              <w:t>8.3. Фрактури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_Toc196818297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110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98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8.4. Изгаряне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_Toc196818298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111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299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8.5. Кръвотечение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_Toc196818299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112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44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300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8.6. Стандартни предпазни мерки (при всеки пострадал):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_Toc196818300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113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301" w:history="1">
            <w:r w:rsidRPr="000567A6">
              <w:rPr>
                <w:rFonts w:ascii="Times New Roman" w:eastAsia="Old Standard" w:hAnsi="Times New Roman" w:cs="Times New Roman"/>
                <w:noProof/>
                <w:color w:val="0563C1"/>
                <w:u w:val="single"/>
              </w:rPr>
              <w:t>РАЗДЕЛ 9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_Toc196818301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113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302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МОНИТОРИНГ, ПЕРИОДИЧЕН ПРЕГЛЕД И АКТУАЛИЗИРАНЕ НА НАСОКИТЕ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_Toc196818302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113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303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/>
              </w:rPr>
              <w:t>9.1. Преглед и актуализиране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_Toc196818303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113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30"/>
            </w:tabs>
            <w:spacing w:after="100" w:line="276" w:lineRule="auto"/>
            <w:ind w:left="220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304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highlight w:val="lightGray"/>
                <w:u w:val="single"/>
              </w:rPr>
              <w:t>9.2. Мониторинг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_Toc196818304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113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305" w:history="1">
            <w:r w:rsidRPr="000567A6">
              <w:rPr>
                <w:rFonts w:ascii="Times New Roman" w:eastAsia="Old Standard" w:hAnsi="Times New Roman" w:cs="Times New Roman"/>
                <w:noProof/>
                <w:color w:val="0563C1"/>
                <w:u w:val="single"/>
              </w:rPr>
              <w:t>РАЗДЕЛ 10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_Toc196818305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114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306" w:history="1">
            <w:r w:rsidRPr="000567A6">
              <w:rPr>
                <w:rFonts w:ascii="Times New Roman" w:eastAsia="Calibri" w:hAnsi="Times New Roman" w:cs="Times New Roman"/>
                <w:b/>
                <w:noProof/>
                <w:color w:val="0563C1"/>
                <w:u w:val="single"/>
              </w:rPr>
              <w:t>КОНТАКТИ НА ОТГОВОРНИТЕ ИНСТИТУЦИИ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_Toc196818306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114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0567A6" w:rsidRPr="000567A6" w:rsidRDefault="000567A6" w:rsidP="000567A6">
          <w:pPr>
            <w:tabs>
              <w:tab w:val="right" w:leader="dot" w:pos="9628"/>
            </w:tabs>
            <w:spacing w:after="100" w:line="276" w:lineRule="auto"/>
            <w:jc w:val="both"/>
            <w:rPr>
              <w:rFonts w:ascii="Aptos" w:eastAsia="Times New Roman" w:hAnsi="Aptos" w:cs="Times New Roman"/>
              <w:noProof/>
              <w:lang w:eastAsia="bg-BG"/>
            </w:rPr>
          </w:pPr>
          <w:hyperlink w:anchor="_Toc196818307" w:history="1">
            <w:r w:rsidRPr="000567A6">
              <w:rPr>
                <w:rFonts w:ascii="Times New Roman" w:eastAsia="Open Sans Bold" w:hAnsi="Times New Roman" w:cs="Times New Roman"/>
                <w:b/>
                <w:bCs/>
                <w:noProof/>
                <w:color w:val="0563C1"/>
                <w:u w:val="single"/>
              </w:rPr>
              <w:t>ПРИЛОЖЕНИЯ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ab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begin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instrText xml:space="preserve"> PAGEREF _Toc196818307 \h </w:instrTex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separate"/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t>118</w:t>
            </w:r>
            <w:r w:rsidRPr="000567A6">
              <w:rPr>
                <w:rFonts w:ascii="Calibri" w:eastAsia="Calibri" w:hAnsi="Calibri" w:cs="Times New Roman"/>
                <w:noProof/>
                <w:webHidden/>
              </w:rPr>
              <w:fldChar w:fldCharType="end"/>
            </w:r>
          </w:hyperlink>
        </w:p>
        <w:p w:rsidR="00842BDF" w:rsidRDefault="000567A6" w:rsidP="000567A6">
          <w:r w:rsidRPr="000567A6">
            <w:rPr>
              <w:rFonts w:ascii="Calibri" w:eastAsia="Times New Roman" w:hAnsi="Calibri" w:cs="Times New Roman"/>
              <w:b/>
              <w:bCs/>
              <w:noProof/>
              <w:lang w:eastAsia="bg-BG"/>
            </w:rPr>
            <w:fldChar w:fldCharType="end"/>
          </w:r>
        </w:p>
      </w:sdtContent>
    </w:sdt>
    <w:bookmarkStart w:id="1" w:name="_GoBack" w:displacedByCustomXml="prev"/>
    <w:bookmarkEnd w:id="1" w:displacedByCustomXml="prev"/>
    <w:sectPr w:rsidR="0084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 Bold">
    <w:charset w:val="00"/>
    <w:family w:val="auto"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Old Standard">
    <w:charset w:val="00"/>
    <w:family w:val="auto"/>
    <w:pitch w:val="default"/>
  </w:font>
  <w:font w:name="Rubik Light Bold">
    <w:altName w:val="Courier New"/>
    <w:charset w:val="00"/>
    <w:family w:val="auto"/>
    <w:pitch w:val="default"/>
  </w:font>
  <w:font w:name="Sofia Sans">
    <w:altName w:val="Times New Roman"/>
    <w:charset w:val="CC"/>
    <w:family w:val="auto"/>
    <w:pitch w:val="variable"/>
    <w:sig w:usb0="00000001" w:usb1="4000A4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C41C6"/>
    <w:multiLevelType w:val="hybridMultilevel"/>
    <w:tmpl w:val="E98079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DA"/>
    <w:rsid w:val="000567A6"/>
    <w:rsid w:val="006E56DA"/>
    <w:rsid w:val="0084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50394-F809-401D-971A-09A93E71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1742</Words>
  <Characters>9930</Characters>
  <Application>Microsoft Office Word</Application>
  <DocSecurity>0</DocSecurity>
  <Lines>82</Lines>
  <Paragraphs>23</Paragraphs>
  <ScaleCrop>false</ScaleCrop>
  <Company/>
  <LinksUpToDate>false</LinksUpToDate>
  <CharactersWithSpaces>11649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2026-07-07T10:09:00Z</dcterms:created>
  <dcterms:modified xsi:type="dcterms:W3CDTF">2026-07-07T10:09:00Z</dcterms:modified>
</cp:coreProperties>
</file>