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051" w:rsidRPr="00711051" w:rsidRDefault="00711051" w:rsidP="00711051">
      <w:pPr>
        <w:spacing w:before="120" w:after="120" w:line="336" w:lineRule="auto"/>
        <w:outlineLvl w:val="0"/>
        <w:rPr>
          <w:rFonts w:ascii="Times New Roman" w:eastAsia="Times New Roman" w:hAnsi="Times New Roman" w:cs="Times New Roman"/>
          <w:sz w:val="24"/>
          <w:szCs w:val="24"/>
          <w:lang w:eastAsia="bg-BG"/>
        </w:rPr>
      </w:pPr>
      <w:bookmarkStart w:id="0" w:name="_Toc196818234"/>
      <w:r w:rsidRPr="00711051">
        <w:rPr>
          <w:rFonts w:ascii="Times New Roman" w:eastAsia="Old Standard" w:hAnsi="Times New Roman" w:cs="Times New Roman"/>
          <w:color w:val="8A663F"/>
          <w:sz w:val="24"/>
          <w:szCs w:val="24"/>
          <w:lang w:eastAsia="bg-BG"/>
        </w:rPr>
        <w:t>РАЗДЕЛ 3</w:t>
      </w:r>
      <w:bookmarkEnd w:id="0"/>
      <w:r w:rsidRPr="00711051">
        <w:rPr>
          <w:rFonts w:ascii="Times New Roman" w:eastAsia="Old Standard" w:hAnsi="Times New Roman" w:cs="Times New Roman"/>
          <w:color w:val="8A663F"/>
          <w:sz w:val="24"/>
          <w:szCs w:val="24"/>
          <w:lang w:eastAsia="bg-BG"/>
        </w:rPr>
        <w:t xml:space="preserve"> </w:t>
      </w:r>
    </w:p>
    <w:p w:rsidR="00711051" w:rsidRPr="00711051" w:rsidRDefault="00711051" w:rsidP="00711051">
      <w:pPr>
        <w:spacing w:before="120" w:after="120" w:line="336" w:lineRule="auto"/>
        <w:jc w:val="both"/>
        <w:outlineLvl w:val="0"/>
        <w:rPr>
          <w:rFonts w:ascii="Times New Roman" w:eastAsia="Times New Roman" w:hAnsi="Times New Roman" w:cs="Times New Roman"/>
          <w:b/>
          <w:sz w:val="24"/>
          <w:szCs w:val="24"/>
          <w:lang w:eastAsia="bg-BG"/>
        </w:rPr>
      </w:pPr>
      <w:bookmarkStart w:id="1" w:name="_Toc196818235"/>
      <w:r w:rsidRPr="00711051">
        <w:rPr>
          <w:rFonts w:ascii="Times New Roman" w:eastAsia="Times New Roman" w:hAnsi="Times New Roman" w:cs="Times New Roman"/>
          <w:b/>
          <w:sz w:val="24"/>
          <w:szCs w:val="24"/>
          <w:lang w:eastAsia="bg-BG"/>
        </w:rPr>
        <w:t>ПРАВИЛА ЗА БЕЗОПАСНОСТ НА ДЕЦАТА КАТО ПОТРЕБИТЕЛИ НА ОПРЕДЕЛЕНИ СТОКИ И УСЛУГИ</w:t>
      </w:r>
      <w:bookmarkEnd w:id="1"/>
      <w:r w:rsidRPr="00711051">
        <w:rPr>
          <w:rFonts w:ascii="Times New Roman" w:eastAsia="Rubik Light Bold" w:hAnsi="Times New Roman" w:cs="Times New Roman"/>
          <w:b/>
          <w:color w:val="000000"/>
          <w:sz w:val="24"/>
          <w:szCs w:val="24"/>
          <w:lang w:eastAsia="bg-BG"/>
        </w:rPr>
        <w:t xml:space="preserve">  </w:t>
      </w:r>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711051" w:rsidRPr="00711051" w:rsidTr="00693D09">
        <w:tc>
          <w:tcPr>
            <w:tcW w:w="10118" w:type="dxa"/>
            <w:shd w:val="clear" w:color="auto" w:fill="FFFBF5"/>
            <w:tcMar>
              <w:top w:w="180" w:type="dxa"/>
              <w:left w:w="180" w:type="dxa"/>
              <w:bottom w:w="180" w:type="dxa"/>
              <w:right w:w="180" w:type="dxa"/>
            </w:tcMar>
          </w:tcPr>
          <w:p w:rsidR="00711051" w:rsidRPr="00711051" w:rsidRDefault="00711051" w:rsidP="00711051">
            <w:pPr>
              <w:ind w:left="567"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Какво трябва да се знае?</w:t>
            </w:r>
          </w:p>
          <w:p w:rsidR="00711051" w:rsidRPr="00711051" w:rsidRDefault="00711051" w:rsidP="00711051">
            <w:pPr>
              <w:ind w:left="567"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На какво да се акцентира?</w:t>
            </w:r>
          </w:p>
          <w:p w:rsidR="00711051" w:rsidRPr="00711051" w:rsidRDefault="00711051" w:rsidP="00711051">
            <w:pPr>
              <w:spacing w:before="120" w:after="120" w:line="336" w:lineRule="auto"/>
              <w:ind w:left="-38" w:right="1" w:firstLine="3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sz w:val="24"/>
                <w:szCs w:val="24"/>
                <w:lang w:eastAsia="bg-BG"/>
              </w:rPr>
              <w:t xml:space="preserve">         Общи рискове за децата</w:t>
            </w:r>
          </w:p>
        </w:tc>
      </w:tr>
    </w:tbl>
    <w:p w:rsidR="00711051" w:rsidRPr="00711051" w:rsidRDefault="00711051" w:rsidP="00711051">
      <w:pPr>
        <w:spacing w:before="120" w:after="120" w:line="336" w:lineRule="auto"/>
        <w:ind w:right="1"/>
        <w:rPr>
          <w:rFonts w:ascii="Times New Roman" w:eastAsia="Times New Roman" w:hAnsi="Times New Roman" w:cs="Times New Roman"/>
          <w:sz w:val="24"/>
          <w:szCs w:val="24"/>
          <w:lang w:eastAsia="bg-BG"/>
        </w:rPr>
      </w:pPr>
      <w:r w:rsidRPr="00711051">
        <w:rPr>
          <w:rFonts w:ascii="Times New Roman" w:eastAsia="Rubik Light" w:hAnsi="Times New Roman" w:cs="Times New Roman"/>
          <w:color w:val="000000"/>
          <w:sz w:val="24"/>
          <w:szCs w:val="24"/>
          <w:lang w:eastAsia="bg-BG"/>
        </w:rPr>
        <w:t xml:space="preserve"> </w:t>
      </w:r>
    </w:p>
    <w:p w:rsidR="00711051" w:rsidRPr="00711051" w:rsidRDefault="00711051" w:rsidP="00711051">
      <w:pPr>
        <w:jc w:val="both"/>
        <w:outlineLvl w:val="1"/>
        <w:rPr>
          <w:rFonts w:ascii="Times New Roman" w:eastAsia="Open Sans Bold" w:hAnsi="Times New Roman" w:cs="Times New Roman"/>
          <w:b/>
          <w:bCs/>
          <w:color w:val="1A62FF"/>
          <w:sz w:val="24"/>
          <w:szCs w:val="24"/>
          <w:highlight w:val="lightGray"/>
          <w:u w:val="single" w:color="1A62FF"/>
          <w:lang w:eastAsia="bg-BG"/>
        </w:rPr>
      </w:pPr>
      <w:bookmarkStart w:id="2" w:name="_Toc196818236"/>
      <w:r w:rsidRPr="00711051">
        <w:rPr>
          <w:rFonts w:ascii="Times New Roman" w:eastAsia="Open Sans Bold" w:hAnsi="Times New Roman" w:cs="Times New Roman"/>
          <w:b/>
          <w:bCs/>
          <w:color w:val="1A62FF"/>
          <w:sz w:val="24"/>
          <w:szCs w:val="24"/>
          <w:highlight w:val="lightGray"/>
          <w:u w:val="single" w:color="1A62FF"/>
          <w:lang w:eastAsia="bg-BG"/>
        </w:rPr>
        <w:t>3.1. Изисквания за безопасност на обществено достъпни площадки за игра, разположени на открито и на закрито /в търговски центрове, заведения за хранене и развлечения, хотели, детски градини и др.</w:t>
      </w:r>
      <w:r w:rsidRPr="00711051">
        <w:rPr>
          <w:rFonts w:ascii="Times New Roman" w:eastAsia="Open Sans Bold" w:hAnsi="Times New Roman" w:cs="Times New Roman"/>
          <w:b/>
          <w:bCs/>
          <w:color w:val="1A62FF"/>
          <w:sz w:val="24"/>
          <w:szCs w:val="24"/>
          <w:highlight w:val="lightGray"/>
          <w:u w:val="single" w:color="1A62FF"/>
          <w:vertAlign w:val="superscript"/>
          <w:lang w:eastAsia="bg-BG"/>
        </w:rPr>
        <w:footnoteReference w:id="1"/>
      </w:r>
      <w:bookmarkEnd w:id="2"/>
      <w:r w:rsidRPr="00711051">
        <w:rPr>
          <w:rFonts w:ascii="Times New Roman" w:eastAsia="Open Sans Bold" w:hAnsi="Times New Roman" w:cs="Times New Roman"/>
          <w:b/>
          <w:bCs/>
          <w:color w:val="1A62FF"/>
          <w:sz w:val="24"/>
          <w:szCs w:val="24"/>
          <w:highlight w:val="lightGray"/>
          <w:u w:val="single" w:color="1A62FF"/>
          <w:lang w:eastAsia="bg-BG"/>
        </w:rPr>
        <w:t xml:space="preserve">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Площадките за игра се устройват в зависимост от предназначението им по възрастови групи на ползвателите. В зависимост от физическите и психическите способности на децата се разделят на следните възрастови групи: до 3 години;  от 3 до 12 години;  от 12 до 18 години.</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На всяка закрита и открита площадка за игра трябва да са поставени информационни табели, които се разполагат до входовете/изходите на площадката, относно безопасната експлоатация, в това число възрастови групи, за които са предназначени съоръженията;  забрани и ограничения на територията им.</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Съоръженията за игра и елементите на обзавеждането не трябва да имат остри ръбове и стърчащи части, поради риск от захващане на тялото, части от тялото или на дрехи. По съоръженията не трябва да има следи от корозия, не трябва да има повредени части. </w:t>
      </w:r>
    </w:p>
    <w:p w:rsidR="00711051" w:rsidRPr="00711051" w:rsidRDefault="00711051" w:rsidP="00711051">
      <w:pPr>
        <w:shd w:val="clear" w:color="auto" w:fill="FFFFFF"/>
        <w:spacing w:after="0" w:line="240" w:lineRule="auto"/>
        <w:ind w:right="1"/>
        <w:jc w:val="both"/>
        <w:rPr>
          <w:rFonts w:ascii="Times New Roman" w:eastAsia="Times New Roman" w:hAnsi="Times New Roman" w:cs="Times New Roman"/>
          <w:sz w:val="24"/>
          <w:szCs w:val="24"/>
          <w:lang w:eastAsia="bg-BG"/>
        </w:rPr>
      </w:pPr>
    </w:p>
    <w:p w:rsidR="00711051" w:rsidRPr="00711051" w:rsidRDefault="00711051" w:rsidP="00711051">
      <w:pPr>
        <w:jc w:val="both"/>
        <w:outlineLvl w:val="1"/>
        <w:rPr>
          <w:rFonts w:ascii="Times New Roman" w:eastAsia="Open Sans Bold" w:hAnsi="Times New Roman" w:cs="Times New Roman"/>
          <w:b/>
          <w:bCs/>
          <w:color w:val="1A62FF"/>
          <w:sz w:val="24"/>
          <w:szCs w:val="24"/>
          <w:highlight w:val="lightGray"/>
          <w:u w:val="single" w:color="1A62FF"/>
          <w:lang w:eastAsia="bg-BG"/>
        </w:rPr>
      </w:pPr>
      <w:bookmarkStart w:id="3" w:name="_Toc196818237"/>
      <w:r w:rsidRPr="00711051">
        <w:rPr>
          <w:rFonts w:ascii="Times New Roman" w:eastAsia="Open Sans Bold" w:hAnsi="Times New Roman" w:cs="Times New Roman"/>
          <w:b/>
          <w:bCs/>
          <w:color w:val="1A62FF"/>
          <w:sz w:val="24"/>
          <w:szCs w:val="24"/>
          <w:highlight w:val="lightGray"/>
          <w:u w:val="single" w:color="1A62FF"/>
          <w:lang w:eastAsia="bg-BG"/>
        </w:rPr>
        <w:t>3.2. Електрически тротинетки и велосипеди за ползване по обществени пътища – рискове от инциденти и наранявания при използване на продуктите</w:t>
      </w:r>
      <w:bookmarkEnd w:id="3"/>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При използването и избора на електрическа тротинетка, електрически велосипед /ЕРАС/ и ховърборд е важно да се обърне внимание на някои от следните акценти:</w:t>
      </w:r>
    </w:p>
    <w:p w:rsidR="00711051" w:rsidRPr="00711051" w:rsidRDefault="00711051" w:rsidP="00711051">
      <w:pPr>
        <w:numPr>
          <w:ilvl w:val="0"/>
          <w:numId w:val="1"/>
        </w:numPr>
        <w:spacing w:after="0" w:line="200" w:lineRule="atLeast"/>
        <w:ind w:left="993" w:right="1" w:hanging="426"/>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Това са превозни средства, които се задвижват с електрически двигател, и ако максималната непрекъсната  номинална мощност не надвишава 25 km/h, </w:t>
      </w:r>
      <w:r w:rsidRPr="00711051">
        <w:rPr>
          <w:rFonts w:ascii="Times New Roman" w:eastAsia="Times New Roman" w:hAnsi="Times New Roman" w:cs="Times New Roman"/>
          <w:sz w:val="24"/>
          <w:szCs w:val="24"/>
          <w:lang w:eastAsia="bg-BG"/>
        </w:rPr>
        <w:lastRenderedPageBreak/>
        <w:t xml:space="preserve">попадат в </w:t>
      </w:r>
      <w:r w:rsidRPr="00711051">
        <w:rPr>
          <w:rFonts w:ascii="Calibri" w:eastAsia="Times New Roman" w:hAnsi="Calibri" w:cs="Times New Roman"/>
          <w:noProof/>
          <w:lang w:eastAsia="bg-BG"/>
        </w:rPr>
        <mc:AlternateContent>
          <mc:Choice Requires="wpg">
            <w:drawing>
              <wp:anchor distT="0" distB="0" distL="228600" distR="228600" simplePos="0" relativeHeight="251662336" behindDoc="1" locked="0" layoutInCell="1" allowOverlap="1" wp14:anchorId="089F06EB" wp14:editId="57D92728">
                <wp:simplePos x="0" y="0"/>
                <wp:positionH relativeFrom="margin">
                  <wp:posOffset>4365625</wp:posOffset>
                </wp:positionH>
                <wp:positionV relativeFrom="margin">
                  <wp:posOffset>60325</wp:posOffset>
                </wp:positionV>
                <wp:extent cx="1828800" cy="8092440"/>
                <wp:effectExtent l="0" t="0" r="0" b="0"/>
                <wp:wrapSquare wrapText="bothSides"/>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8092440"/>
                          <a:chOff x="0" y="0"/>
                          <a:chExt cx="1828800" cy="8621175"/>
                        </a:xfrm>
                      </wpg:grpSpPr>
                      <wps:wsp>
                        <wps:cNvPr id="47" name="Rectangle 41"/>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2"/>
                        <wps:cNvSpPr/>
                        <wps:spPr>
                          <a:xfrm>
                            <a:off x="0" y="2057400"/>
                            <a:ext cx="1828800" cy="6563775"/>
                          </a:xfrm>
                          <a:prstGeom prst="rect">
                            <a:avLst/>
                          </a:prstGeom>
                          <a:solidFill>
                            <a:srgbClr val="5B9BD5"/>
                          </a:solidFill>
                          <a:ln w="12700" cap="flat" cmpd="sng" algn="ctr">
                            <a:noFill/>
                            <a:prstDash val="solid"/>
                            <a:miter lim="800000"/>
                          </a:ln>
                          <a:effectLst/>
                        </wps:spPr>
                        <wps:txbx>
                          <w:txbxContent>
                            <w:p w:rsidR="00711051" w:rsidRPr="008C325B" w:rsidRDefault="00711051" w:rsidP="00711051">
                              <w:pPr>
                                <w:spacing w:after="0" w:line="200" w:lineRule="atLeast"/>
                                <w:ind w:left="-113" w:right="-57" w:firstLine="426"/>
                                <w:jc w:val="both"/>
                                <w:rPr>
                                  <w:rFonts w:ascii="Times New Roman" w:hAnsi="Times New Roman"/>
                                  <w:sz w:val="24"/>
                                  <w:szCs w:val="24"/>
                                </w:rPr>
                              </w:pPr>
                            </w:p>
                            <w:p w:rsidR="00711051" w:rsidRDefault="00711051" w:rsidP="00711051">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rsidR="00711051" w:rsidRDefault="00711051" w:rsidP="00711051">
                              <w:pPr>
                                <w:spacing w:after="0" w:line="200" w:lineRule="atLeast"/>
                                <w:ind w:left="-113" w:right="-57" w:firstLine="426"/>
                                <w:jc w:val="both"/>
                                <w:rPr>
                                  <w:rFonts w:ascii="Times New Roman" w:hAnsi="Times New Roman"/>
                                  <w:sz w:val="24"/>
                                  <w:szCs w:val="24"/>
                                </w:rPr>
                              </w:pPr>
                            </w:p>
                            <w:p w:rsidR="00711051" w:rsidRDefault="00711051" w:rsidP="00711051">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rsidR="00711051" w:rsidRDefault="00711051" w:rsidP="00711051">
                              <w:pPr>
                                <w:spacing w:after="0" w:line="200" w:lineRule="atLeast"/>
                                <w:ind w:left="-113" w:right="-57" w:firstLine="426"/>
                                <w:jc w:val="both"/>
                                <w:rPr>
                                  <w:rFonts w:ascii="Times New Roman" w:hAnsi="Times New Roman"/>
                                  <w:sz w:val="24"/>
                                  <w:szCs w:val="24"/>
                                </w:rPr>
                              </w:pPr>
                            </w:p>
                            <w:p w:rsidR="00711051" w:rsidRPr="008C325B" w:rsidRDefault="00711051" w:rsidP="00711051">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rsidR="00711051" w:rsidRPr="008C325B" w:rsidRDefault="00711051" w:rsidP="00711051">
                              <w:pPr>
                                <w:spacing w:after="0" w:line="200" w:lineRule="atLeast"/>
                                <w:ind w:left="-113" w:right="-57" w:firstLine="426"/>
                                <w:jc w:val="both"/>
                                <w:rPr>
                                  <w:rFonts w:ascii="Times New Roman" w:hAnsi="Times New Roman"/>
                                  <w:sz w:val="24"/>
                                  <w:szCs w:val="24"/>
                                </w:rPr>
                              </w:pPr>
                            </w:p>
                            <w:p w:rsidR="00711051" w:rsidRPr="00B445DD" w:rsidRDefault="00711051" w:rsidP="00711051">
                              <w:pPr>
                                <w:rPr>
                                  <w:color w:val="FFFFFF"/>
                                </w:rPr>
                              </w:pPr>
                            </w:p>
                            <w:p w:rsidR="00711051" w:rsidRPr="00B445DD" w:rsidRDefault="00711051" w:rsidP="00711051">
                              <w:pPr>
                                <w:rPr>
                                  <w:color w:val="FFFFFF"/>
                                </w:rPr>
                              </w:pPr>
                            </w:p>
                            <w:p w:rsidR="00711051" w:rsidRPr="00B445DD" w:rsidRDefault="00711051" w:rsidP="00711051">
                              <w:pPr>
                                <w:rPr>
                                  <w:color w:val="FFFFFF"/>
                                </w:rPr>
                              </w:pPr>
                            </w:p>
                            <w:p w:rsidR="00711051" w:rsidRPr="00B445DD" w:rsidRDefault="00711051" w:rsidP="00711051">
                              <w:pPr>
                                <w:rPr>
                                  <w:color w:val="FFFFFF"/>
                                </w:rPr>
                              </w:pPr>
                            </w:p>
                            <w:p w:rsidR="00711051" w:rsidRPr="00B445DD" w:rsidRDefault="00711051" w:rsidP="00711051">
                              <w:pPr>
                                <w:rPr>
                                  <w:color w:val="FFFFFF"/>
                                </w:rPr>
                              </w:pPr>
                            </w:p>
                            <w:p w:rsidR="00711051" w:rsidRPr="00B445DD" w:rsidRDefault="00711051" w:rsidP="00711051">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9" name="Text Box 43"/>
                        <wps:cNvSpPr txBox="1"/>
                        <wps:spPr>
                          <a:xfrm>
                            <a:off x="0" y="231815"/>
                            <a:ext cx="1828800" cy="1657945"/>
                          </a:xfrm>
                          <a:prstGeom prst="rect">
                            <a:avLst/>
                          </a:prstGeom>
                          <a:solidFill>
                            <a:sysClr val="window" lastClr="FFFFFF"/>
                          </a:solidFill>
                          <a:ln w="6350">
                            <a:noFill/>
                          </a:ln>
                          <a:effectLst/>
                        </wps:spPr>
                        <wps:txbx>
                          <w:txbxContent>
                            <w:p w:rsidR="00711051" w:rsidRPr="00B445DD" w:rsidRDefault="00711051" w:rsidP="00711051">
                              <w:pPr>
                                <w:pStyle w:val="a8"/>
                                <w:jc w:val="center"/>
                                <w:rPr>
                                  <w:rFonts w:ascii="Calibri Light" w:hAnsi="Calibri Light"/>
                                  <w:caps/>
                                  <w:color w:val="5B9BD5"/>
                                  <w:sz w:val="28"/>
                                  <w:szCs w:val="28"/>
                                </w:rPr>
                              </w:pPr>
                              <w:r>
                                <w:rPr>
                                  <w:noProof/>
                                  <w:lang w:val="bg-BG" w:eastAsia="bg-BG"/>
                                </w:rPr>
                                <w:drawing>
                                  <wp:inline distT="0" distB="0" distL="0" distR="0" wp14:anchorId="24EAB8CA" wp14:editId="5BBFF665">
                                    <wp:extent cx="1554480" cy="1645920"/>
                                    <wp:effectExtent l="0" t="0" r="0" b="0"/>
                                    <wp:docPr id="11"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089F06EB" id="Group 46" o:spid="_x0000_s1026" style="position:absolute;left:0;text-align:left;margin-left:343.75pt;margin-top:4.75pt;width:2in;height:637.2pt;z-index:-251654144;mso-width-percent:308;mso-wrap-distance-left:18pt;mso-wrap-distance-right:18pt;mso-position-horizontal-relative:margin;mso-position-vertical-relative:margin;mso-width-percent:308;mso-width-relative:margin;mso-height-relative:margin" coordsize="18288,8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">
                <v:rect id="Rectangle 41" o:spid="_x0000_s102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zKsUA&#10;AADbAAAADwAAAGRycy9kb3ducmV2LnhtbESPS2vDMBCE74X+B7GB3hrJfSTFiRJKQ0sPJZDHocfF&#10;2tgm1spIm8T591Wh0OMwM98w8+XgO3WmmNrAFoqxAUVcBddybWG/e79/AZUE2WEXmCxcKcFycXsz&#10;x9KFC2/ovJVaZQinEi00In2pdaoa8pjGoSfO3iFEj5JlrLWLeMlw3+kHYybaY8t5ocGe3hqqjtuT&#10;tzAVs7qax+/110fxHA9DcZRJ2Ft7NxpeZ6CEBvkP/7U/nYWnKfx+yT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7MqxQAAANsAAAAPAAAAAAAAAAAAAAAAAJgCAABkcnMv&#10;ZG93bnJldi54bWxQSwUGAAAAAAQABAD1AAAAigMAAAAA&#10;" fillcolor="#5b9bd5" stroked="f" strokeweight="1pt"/>
                <v:rect id="_x0000_s1028" style="position:absolute;top:20574;width:18288;height:65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V4sQA&#10;AADbAAAADwAAAGRycy9kb3ducmV2LnhtbERPy2rCQBTdC/2H4Ra6ETPxgZY0o9iKpeIDtO3+krkm&#10;oZk7aWYa4993FoLLw3mni85UoqXGlZYVDKMYBHFmdcm5gq/P9eAZhPPIGivLpOBKDhbzh16KibYX&#10;PlJ78rkIIewSVFB4XydSuqwggy6yNXHgzrYx6ANscqkbvIRwU8lRHE+lwZJDQ4E1vRWU/Zz+jILX&#10;drbvj6fn3fow2u5/379X9caslHp67JYvIDx1/i6+uT+0gkkYG76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VeLEAAAA2wAAAA8AAAAAAAAAAAAAAAAAmAIAAGRycy9k&#10;b3ducmV2LnhtbFBLBQYAAAAABAAEAPUAAACJAwAAAAA=&#10;" fillcolor="#5b9bd5" stroked="f" strokeweight="1pt">
                  <v:textbox inset=",14.4pt,8.64pt,18pt">
                    <w:txbxContent>
                      <w:p w:rsidR="00711051" w:rsidRPr="008C325B" w:rsidRDefault="00711051" w:rsidP="00711051">
                        <w:pPr>
                          <w:spacing w:after="0" w:line="200" w:lineRule="atLeast"/>
                          <w:ind w:left="-113" w:right="-57" w:firstLine="426"/>
                          <w:jc w:val="both"/>
                          <w:rPr>
                            <w:rFonts w:ascii="Times New Roman" w:hAnsi="Times New Roman"/>
                            <w:sz w:val="24"/>
                            <w:szCs w:val="24"/>
                          </w:rPr>
                        </w:pPr>
                      </w:p>
                      <w:p w:rsidR="00711051" w:rsidRDefault="00711051" w:rsidP="00711051">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rsidR="00711051" w:rsidRDefault="00711051" w:rsidP="00711051">
                        <w:pPr>
                          <w:spacing w:after="0" w:line="200" w:lineRule="atLeast"/>
                          <w:ind w:left="-113" w:right="-57" w:firstLine="426"/>
                          <w:jc w:val="both"/>
                          <w:rPr>
                            <w:rFonts w:ascii="Times New Roman" w:hAnsi="Times New Roman"/>
                            <w:sz w:val="24"/>
                            <w:szCs w:val="24"/>
                          </w:rPr>
                        </w:pPr>
                      </w:p>
                      <w:p w:rsidR="00711051" w:rsidRDefault="00711051" w:rsidP="00711051">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rsidR="00711051" w:rsidRDefault="00711051" w:rsidP="00711051">
                        <w:pPr>
                          <w:spacing w:after="0" w:line="200" w:lineRule="atLeast"/>
                          <w:ind w:left="-113" w:right="-57" w:firstLine="426"/>
                          <w:jc w:val="both"/>
                          <w:rPr>
                            <w:rFonts w:ascii="Times New Roman" w:hAnsi="Times New Roman"/>
                            <w:sz w:val="24"/>
                            <w:szCs w:val="24"/>
                          </w:rPr>
                        </w:pPr>
                      </w:p>
                      <w:p w:rsidR="00711051" w:rsidRPr="008C325B" w:rsidRDefault="00711051" w:rsidP="00711051">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rsidR="00711051" w:rsidRPr="008C325B" w:rsidRDefault="00711051" w:rsidP="00711051">
                        <w:pPr>
                          <w:spacing w:after="0" w:line="200" w:lineRule="atLeast"/>
                          <w:ind w:left="-113" w:right="-57" w:firstLine="426"/>
                          <w:jc w:val="both"/>
                          <w:rPr>
                            <w:rFonts w:ascii="Times New Roman" w:hAnsi="Times New Roman"/>
                            <w:sz w:val="24"/>
                            <w:szCs w:val="24"/>
                          </w:rPr>
                        </w:pPr>
                      </w:p>
                      <w:p w:rsidR="00711051" w:rsidRPr="00B445DD" w:rsidRDefault="00711051" w:rsidP="00711051">
                        <w:pPr>
                          <w:rPr>
                            <w:color w:val="FFFFFF"/>
                          </w:rPr>
                        </w:pPr>
                      </w:p>
                      <w:p w:rsidR="00711051" w:rsidRPr="00B445DD" w:rsidRDefault="00711051" w:rsidP="00711051">
                        <w:pPr>
                          <w:rPr>
                            <w:color w:val="FFFFFF"/>
                          </w:rPr>
                        </w:pPr>
                      </w:p>
                      <w:p w:rsidR="00711051" w:rsidRPr="00B445DD" w:rsidRDefault="00711051" w:rsidP="00711051">
                        <w:pPr>
                          <w:rPr>
                            <w:color w:val="FFFFFF"/>
                          </w:rPr>
                        </w:pPr>
                      </w:p>
                      <w:p w:rsidR="00711051" w:rsidRPr="00B445DD" w:rsidRDefault="00711051" w:rsidP="00711051">
                        <w:pPr>
                          <w:rPr>
                            <w:color w:val="FFFFFF"/>
                          </w:rPr>
                        </w:pPr>
                      </w:p>
                      <w:p w:rsidR="00711051" w:rsidRPr="00B445DD" w:rsidRDefault="00711051" w:rsidP="00711051">
                        <w:pPr>
                          <w:rPr>
                            <w:color w:val="FFFFFF"/>
                          </w:rPr>
                        </w:pPr>
                      </w:p>
                      <w:p w:rsidR="00711051" w:rsidRPr="00B445DD" w:rsidRDefault="00711051" w:rsidP="00711051">
                        <w:pPr>
                          <w:rPr>
                            <w:color w:val="FFFFFF"/>
                          </w:rPr>
                        </w:pPr>
                      </w:p>
                    </w:txbxContent>
                  </v:textbox>
                </v:rect>
                <v:shapetype id="_x0000_t202" coordsize="21600,21600" o:spt="202" path="m,l,21600r21600,l21600,xe">
                  <v:stroke joinstyle="miter"/>
                  <v:path gradientshapeok="t" o:connecttype="rect"/>
                </v:shapetype>
                <v:shape id="Text Box 43" o:spid="_x0000_s1029" type="#_x0000_t202" style="position:absolute;top:2318;width:18288;height:16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uwcQA&#10;AADbAAAADwAAAGRycy9kb3ducmV2LnhtbESPQWsCMRSE7wX/Q3hCbzVrsWJXo7SlBXvw4Frw+tg8&#10;N4ublyWJu9v++kYQPA4z8w2z2gy2ER35UDtWMJ1kIIhLp2uuFPwcvp4WIEJE1tg4JgW/FGCzHj2s&#10;MNeu5z11RaxEgnDIUYGJsc2lDKUhi2HiWuLknZy3GJP0ldQe+wS3jXzOsrm0WHNaMNjSh6HyXFys&#10;Avly+dx3/Wx7zgrDu+/je+//BqUex8PbEkSkId7Dt/ZWK5i9wv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rsHEAAAA2wAAAA8AAAAAAAAAAAAAAAAAmAIAAGRycy9k&#10;b3ducmV2LnhtbFBLBQYAAAAABAAEAPUAAACJAwAAAAA=&#10;" fillcolor="window" stroked="f" strokeweight=".5pt">
                  <v:textbox inset=",7.2pt,,7.2pt">
                    <w:txbxContent>
                      <w:p w:rsidR="00711051" w:rsidRPr="00B445DD" w:rsidRDefault="00711051" w:rsidP="00711051">
                        <w:pPr>
                          <w:pStyle w:val="a8"/>
                          <w:jc w:val="center"/>
                          <w:rPr>
                            <w:rFonts w:ascii="Calibri Light" w:hAnsi="Calibri Light"/>
                            <w:caps/>
                            <w:color w:val="5B9BD5"/>
                            <w:sz w:val="28"/>
                            <w:szCs w:val="28"/>
                          </w:rPr>
                        </w:pPr>
                        <w:r>
                          <w:rPr>
                            <w:noProof/>
                            <w:lang w:val="bg-BG" w:eastAsia="bg-BG"/>
                          </w:rPr>
                          <w:drawing>
                            <wp:inline distT="0" distB="0" distL="0" distR="0" wp14:anchorId="24EAB8CA" wp14:editId="5BBFF665">
                              <wp:extent cx="1554480" cy="1645920"/>
                              <wp:effectExtent l="0" t="0" r="0" b="0"/>
                              <wp:docPr id="11"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v:textbox>
                </v:shape>
                <w10:wrap type="square" anchorx="margin" anchory="margin"/>
              </v:group>
            </w:pict>
          </mc:Fallback>
        </mc:AlternateContent>
      </w:r>
      <w:r w:rsidRPr="00711051">
        <w:rPr>
          <w:rFonts w:ascii="Times New Roman" w:eastAsia="Times New Roman" w:hAnsi="Times New Roman" w:cs="Times New Roman"/>
          <w:sz w:val="24"/>
          <w:szCs w:val="24"/>
          <w:lang w:eastAsia="bg-BG"/>
        </w:rPr>
        <w:t>обхвата на Наредбата за съществени изисквания и оценяване на съответствието на машини</w:t>
      </w:r>
      <w:r w:rsidRPr="00711051">
        <w:rPr>
          <w:rFonts w:ascii="Calibri" w:eastAsia="Times New Roman" w:hAnsi="Calibri" w:cs="Times New Roman"/>
          <w:lang w:eastAsia="bg-BG"/>
        </w:rPr>
        <w:footnoteReference w:id="2"/>
      </w:r>
      <w:r w:rsidRPr="00711051">
        <w:rPr>
          <w:rFonts w:ascii="Times New Roman" w:eastAsia="Times New Roman" w:hAnsi="Times New Roman" w:cs="Times New Roman"/>
          <w:sz w:val="24"/>
          <w:szCs w:val="24"/>
          <w:lang w:eastAsia="bg-BG"/>
        </w:rPr>
        <w:t xml:space="preserve">. </w:t>
      </w:r>
    </w:p>
    <w:p w:rsidR="00711051" w:rsidRPr="00711051" w:rsidRDefault="00711051" w:rsidP="00711051">
      <w:pPr>
        <w:numPr>
          <w:ilvl w:val="0"/>
          <w:numId w:val="1"/>
        </w:numPr>
        <w:spacing w:after="0" w:line="200" w:lineRule="atLeast"/>
        <w:ind w:left="993" w:right="1" w:hanging="426"/>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Електрическият двигател се захранва с батерия. Основният проблем е прегряването на батерията по време на зареждане, което често води до експлозия, вследствие на което има инциденти и се нанасят материални щети. </w:t>
      </w:r>
    </w:p>
    <w:p w:rsidR="00711051" w:rsidRPr="00711051" w:rsidRDefault="00711051" w:rsidP="00711051">
      <w:pPr>
        <w:numPr>
          <w:ilvl w:val="0"/>
          <w:numId w:val="1"/>
        </w:numPr>
        <w:spacing w:after="0" w:line="200" w:lineRule="atLeast"/>
        <w:ind w:left="993" w:right="1" w:hanging="426"/>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Върху продуктите производителят трябва да е поставил производствената табела, върху която да има нанесена маркировка за съответствие СЕ, данни за име и адрес на производителя, технически характеристики, година на производство. </w:t>
      </w:r>
    </w:p>
    <w:p w:rsidR="00711051" w:rsidRPr="00711051" w:rsidRDefault="00711051" w:rsidP="00711051">
      <w:pPr>
        <w:numPr>
          <w:ilvl w:val="0"/>
          <w:numId w:val="1"/>
        </w:numPr>
        <w:spacing w:after="0" w:line="200" w:lineRule="atLeast"/>
        <w:ind w:left="993" w:right="1" w:hanging="426"/>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Продуктите трябва да се придружават от инструкция за употреба, съставена от производителя на български език.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Неспазването на основните инструкциите и указанията за безопасност изброени в инструкцията за употреба, може да доведе до повреда на електрическа тротинетка, електрически велосипед /ЕРАС/ и/или ховърборд, което от своя страна да доведе до сериозни телесни наранявания и дори смърт.</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p>
    <w:p w:rsidR="00711051" w:rsidRPr="00711051" w:rsidRDefault="00711051" w:rsidP="00711051">
      <w:pPr>
        <w:ind w:right="1" w:firstLine="708"/>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Изисквания за безопасност на електрически тротинетки и велосипеди</w:t>
      </w:r>
      <w:r w:rsidRPr="00711051">
        <w:rPr>
          <w:rFonts w:ascii="Times New Roman" w:eastAsia="Times New Roman" w:hAnsi="Times New Roman" w:cs="Times New Roman"/>
          <w:b/>
          <w:sz w:val="24"/>
          <w:szCs w:val="24"/>
          <w:vertAlign w:val="superscript"/>
          <w:lang w:eastAsia="bg-BG"/>
        </w:rPr>
        <w:footnoteReference w:id="3"/>
      </w:r>
      <w:r w:rsidRPr="00711051">
        <w:rPr>
          <w:rFonts w:ascii="Times New Roman" w:eastAsia="Times New Roman" w:hAnsi="Times New Roman" w:cs="Times New Roman"/>
          <w:b/>
          <w:sz w:val="24"/>
          <w:szCs w:val="24"/>
          <w:lang w:eastAsia="bg-BG"/>
        </w:rPr>
        <w:t xml:space="preserve">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За да участва в движението по пътищата, отворени за обществено ползване, всеки велосипед и ИЕПС трябва да има изправни:</w:t>
      </w:r>
    </w:p>
    <w:p w:rsidR="00711051" w:rsidRPr="00711051" w:rsidRDefault="00711051" w:rsidP="00711051">
      <w:pPr>
        <w:numPr>
          <w:ilvl w:val="0"/>
          <w:numId w:val="6"/>
        </w:numPr>
        <w:shd w:val="clear" w:color="auto" w:fill="FFFFFF"/>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спирачки;</w:t>
      </w:r>
    </w:p>
    <w:p w:rsidR="00711051" w:rsidRPr="00711051" w:rsidRDefault="00711051" w:rsidP="00711051">
      <w:pPr>
        <w:numPr>
          <w:ilvl w:val="0"/>
          <w:numId w:val="6"/>
        </w:numPr>
        <w:shd w:val="clear" w:color="auto" w:fill="FFFFFF"/>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механичен или електронен звънец и да няма друг звуков сигнал;</w:t>
      </w:r>
    </w:p>
    <w:p w:rsidR="00711051" w:rsidRPr="00711051" w:rsidRDefault="00711051" w:rsidP="00711051">
      <w:pPr>
        <w:numPr>
          <w:ilvl w:val="0"/>
          <w:numId w:val="6"/>
        </w:numPr>
        <w:shd w:val="clear" w:color="auto" w:fill="FFFFFF"/>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за велосипеда - устройство за излъчване на бяла или жълта добре различима светлина отпред и червен светлоотразител отзад; допуска се поставянето на устройство за излъчване на червена светлина отзад;</w:t>
      </w:r>
    </w:p>
    <w:p w:rsidR="00711051" w:rsidRPr="00711051" w:rsidRDefault="00711051" w:rsidP="00711051">
      <w:pPr>
        <w:numPr>
          <w:ilvl w:val="0"/>
          <w:numId w:val="6"/>
        </w:numPr>
        <w:shd w:val="clear" w:color="auto" w:fill="FFFFFF"/>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за индивидуалното електрическо превозно средство (такова е и тротинетката) - устройство за излъчване на бяла или жълта добре различима светлина отпред и устройство за излъчване на червена светлина отзад;</w:t>
      </w:r>
    </w:p>
    <w:p w:rsidR="00711051" w:rsidRPr="00711051" w:rsidRDefault="00711051" w:rsidP="00711051">
      <w:pPr>
        <w:numPr>
          <w:ilvl w:val="0"/>
          <w:numId w:val="6"/>
        </w:numPr>
        <w:shd w:val="clear" w:color="auto" w:fill="FFFFFF"/>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бели или жълти светлоотразители или светлоотразяващи елементи отстрани на колелата на велосипедите.</w:t>
      </w:r>
    </w:p>
    <w:p w:rsidR="00711051" w:rsidRPr="00711051" w:rsidRDefault="00711051" w:rsidP="00711051">
      <w:pPr>
        <w:shd w:val="clear" w:color="auto" w:fill="FFFFFF"/>
        <w:spacing w:after="0" w:line="240" w:lineRule="auto"/>
        <w:ind w:right="1"/>
        <w:jc w:val="both"/>
        <w:rPr>
          <w:rFonts w:ascii="Times New Roman" w:eastAsia="Times New Roman" w:hAnsi="Times New Roman" w:cs="Times New Roman"/>
          <w:sz w:val="24"/>
          <w:szCs w:val="24"/>
          <w:lang w:eastAsia="bg-BG"/>
        </w:rPr>
      </w:pPr>
    </w:p>
    <w:p w:rsidR="00711051" w:rsidRPr="00711051" w:rsidRDefault="00711051" w:rsidP="00711051">
      <w:pPr>
        <w:jc w:val="both"/>
        <w:outlineLvl w:val="1"/>
        <w:rPr>
          <w:rFonts w:ascii="Times New Roman" w:eastAsia="Open Sans Bold" w:hAnsi="Times New Roman" w:cs="Times New Roman"/>
          <w:b/>
          <w:bCs/>
          <w:color w:val="1A62FF"/>
          <w:sz w:val="24"/>
          <w:szCs w:val="24"/>
          <w:highlight w:val="lightGray"/>
          <w:u w:val="single" w:color="1A62FF"/>
          <w:lang w:eastAsia="bg-BG"/>
        </w:rPr>
      </w:pPr>
      <w:bookmarkStart w:id="4" w:name="_Toc196818238"/>
      <w:r w:rsidRPr="00711051">
        <w:rPr>
          <w:rFonts w:ascii="Times New Roman" w:eastAsia="Open Sans Bold" w:hAnsi="Times New Roman" w:cs="Times New Roman"/>
          <w:b/>
          <w:bCs/>
          <w:color w:val="1A62FF"/>
          <w:sz w:val="24"/>
          <w:szCs w:val="24"/>
          <w:highlight w:val="lightGray"/>
          <w:u w:val="single" w:color="1A62FF"/>
          <w:lang w:eastAsia="bg-BG"/>
        </w:rPr>
        <w:t>3.3. Пиротехнически изделия. Изисквания за пиротехнически изделия</w:t>
      </w:r>
      <w:r w:rsidRPr="00711051">
        <w:rPr>
          <w:rFonts w:ascii="Times New Roman" w:eastAsia="Open Sans Bold" w:hAnsi="Times New Roman" w:cs="Times New Roman"/>
          <w:b/>
          <w:bCs/>
          <w:color w:val="1A62FF"/>
          <w:sz w:val="24"/>
          <w:szCs w:val="24"/>
          <w:highlight w:val="lightGray"/>
          <w:u w:val="single" w:color="1A62FF"/>
          <w:vertAlign w:val="superscript"/>
          <w:lang w:eastAsia="bg-BG"/>
        </w:rPr>
        <w:footnoteReference w:id="4"/>
      </w:r>
      <w:bookmarkEnd w:id="4"/>
      <w:r w:rsidRPr="00711051">
        <w:rPr>
          <w:rFonts w:ascii="Times New Roman" w:eastAsia="Open Sans Bold" w:hAnsi="Times New Roman" w:cs="Times New Roman"/>
          <w:b/>
          <w:bCs/>
          <w:color w:val="1A62FF"/>
          <w:sz w:val="24"/>
          <w:szCs w:val="24"/>
          <w:highlight w:val="lightGray"/>
          <w:u w:val="single" w:color="1A62FF"/>
          <w:lang w:eastAsia="bg-BG"/>
        </w:rPr>
        <w:t xml:space="preserve">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lastRenderedPageBreak/>
        <w:t>В зависимост от техния вид употреба или предназначение и степен на опасност, включително ниво на шум, се категоризират от производителя по следния начин:</w:t>
      </w:r>
    </w:p>
    <w:p w:rsidR="00711051" w:rsidRPr="00711051" w:rsidRDefault="00711051" w:rsidP="00711051">
      <w:pPr>
        <w:spacing w:after="150" w:line="240" w:lineRule="auto"/>
        <w:ind w:right="1" w:firstLine="708"/>
        <w:jc w:val="both"/>
        <w:textAlignment w:val="center"/>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1. фойерверки:</w:t>
      </w:r>
    </w:p>
    <w:p w:rsidR="00711051" w:rsidRPr="00711051" w:rsidRDefault="00711051" w:rsidP="00711051">
      <w:pPr>
        <w:spacing w:after="150" w:line="240" w:lineRule="auto"/>
        <w:ind w:right="1" w:firstLine="708"/>
        <w:contextualSpacing/>
        <w:jc w:val="both"/>
        <w:textAlignment w:val="center"/>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 категория F1: фойерверки, при използването на които съществува много ниска степен на опасност и пренебрежимо ниско ниво на шум и които са предназначени за употреба в ограничени пространства, включително фойерверки, предназначени за употреба в жилищни сгради. Забранено е предоставянето на пазара на лица под 12 години;</w:t>
      </w:r>
    </w:p>
    <w:p w:rsidR="00711051" w:rsidRPr="00711051" w:rsidRDefault="00711051" w:rsidP="00711051">
      <w:pPr>
        <w:spacing w:after="150" w:line="240" w:lineRule="auto"/>
        <w:ind w:right="1"/>
        <w:contextualSpacing/>
        <w:jc w:val="both"/>
        <w:textAlignment w:val="center"/>
        <w:rPr>
          <w:rFonts w:ascii="Times New Roman" w:eastAsia="Times New Roman" w:hAnsi="Times New Roman" w:cs="Times New Roman"/>
          <w:sz w:val="24"/>
          <w:szCs w:val="24"/>
          <w:lang w:eastAsia="bg-BG"/>
        </w:rPr>
      </w:pPr>
    </w:p>
    <w:p w:rsidR="00711051" w:rsidRPr="00711051" w:rsidRDefault="00711051" w:rsidP="00711051">
      <w:pPr>
        <w:spacing w:after="150" w:line="240" w:lineRule="auto"/>
        <w:ind w:right="1" w:firstLine="708"/>
        <w:contextualSpacing/>
        <w:jc w:val="both"/>
        <w:textAlignment w:val="center"/>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б) категория F2: фойерверки, при използването на които съществува ниска степен на опасност и ниско ниво на шум и които са предназначени за употреба на открито в ограничени пространства. Забранено е предоставянето на пазара на лица под 16 години;</w:t>
      </w:r>
    </w:p>
    <w:p w:rsidR="00711051" w:rsidRPr="00711051" w:rsidRDefault="00711051" w:rsidP="00711051">
      <w:pPr>
        <w:spacing w:after="150" w:line="240" w:lineRule="auto"/>
        <w:ind w:right="1"/>
        <w:contextualSpacing/>
        <w:jc w:val="both"/>
        <w:textAlignment w:val="center"/>
        <w:rPr>
          <w:rFonts w:ascii="Times New Roman" w:eastAsia="Times New Roman" w:hAnsi="Times New Roman" w:cs="Times New Roman"/>
          <w:sz w:val="24"/>
          <w:szCs w:val="24"/>
          <w:lang w:eastAsia="bg-BG"/>
        </w:rPr>
      </w:pPr>
    </w:p>
    <w:p w:rsidR="00711051" w:rsidRPr="00711051" w:rsidRDefault="00711051" w:rsidP="00711051">
      <w:pPr>
        <w:spacing w:after="150" w:line="240" w:lineRule="auto"/>
        <w:ind w:right="1" w:firstLine="708"/>
        <w:contextualSpacing/>
        <w:jc w:val="both"/>
        <w:textAlignment w:val="center"/>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в) категория F3: фойерверки, при използването на които съществува средно висока степен </w:t>
      </w:r>
      <w:r w:rsidRPr="00711051">
        <w:rPr>
          <w:rFonts w:ascii="Times New Roman" w:eastAsia="Times New Roman" w:hAnsi="Times New Roman" w:cs="Times New Roman"/>
          <w:b/>
          <w:sz w:val="24"/>
          <w:szCs w:val="24"/>
          <w:lang w:eastAsia="bg-BG"/>
        </w:rPr>
        <w:t>на опасност, предназначени</w:t>
      </w:r>
      <w:r w:rsidRPr="00711051">
        <w:rPr>
          <w:rFonts w:ascii="Times New Roman" w:eastAsia="Times New Roman" w:hAnsi="Times New Roman" w:cs="Times New Roman"/>
          <w:sz w:val="24"/>
          <w:szCs w:val="24"/>
          <w:lang w:eastAsia="bg-BG"/>
        </w:rPr>
        <w:t xml:space="preserve"> са за употреба в обширни открити пространства и чието ниво на шум не вреди на човешкото здраве. Забранено е предоставянето на пазара на лица под 18 години;</w:t>
      </w:r>
    </w:p>
    <w:p w:rsidR="00711051" w:rsidRPr="00711051" w:rsidRDefault="00711051" w:rsidP="00711051">
      <w:pPr>
        <w:spacing w:after="150" w:line="240" w:lineRule="auto"/>
        <w:ind w:right="1" w:firstLine="708"/>
        <w:jc w:val="both"/>
        <w:textAlignment w:val="center"/>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2. сценични пиротехнически изделия:</w:t>
      </w:r>
    </w:p>
    <w:p w:rsidR="00711051" w:rsidRPr="00711051" w:rsidRDefault="00711051" w:rsidP="00711051">
      <w:pPr>
        <w:spacing w:after="150" w:line="240" w:lineRule="auto"/>
        <w:ind w:right="1" w:firstLine="708"/>
        <w:contextualSpacing/>
        <w:jc w:val="both"/>
        <w:textAlignment w:val="center"/>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 категория Т1: пиротехнически изделия за сценична употреба, при използването на които съществува ниска степен на опасност;</w:t>
      </w:r>
    </w:p>
    <w:p w:rsidR="00711051" w:rsidRPr="00711051" w:rsidRDefault="00711051" w:rsidP="00711051">
      <w:pPr>
        <w:spacing w:after="150" w:line="240" w:lineRule="auto"/>
        <w:ind w:right="1" w:firstLine="708"/>
        <w:jc w:val="both"/>
        <w:textAlignment w:val="center"/>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3. други пиротехнически изделия:</w:t>
      </w:r>
    </w:p>
    <w:p w:rsidR="00711051" w:rsidRPr="00711051" w:rsidRDefault="00711051" w:rsidP="00711051">
      <w:pPr>
        <w:spacing w:after="150" w:line="240" w:lineRule="auto"/>
        <w:ind w:right="1" w:firstLine="708"/>
        <w:contextualSpacing/>
        <w:jc w:val="both"/>
        <w:textAlignment w:val="center"/>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 категория Р1: пиротехнически изделия, различни от фойерверки и сценични пиротехнически изделия, при използването на които съществува ниска степен на опасност.</w:t>
      </w:r>
    </w:p>
    <w:p w:rsidR="00711051" w:rsidRPr="00711051" w:rsidRDefault="00711051" w:rsidP="00711051">
      <w:pPr>
        <w:spacing w:after="0" w:line="240" w:lineRule="auto"/>
        <w:ind w:right="1" w:firstLine="708"/>
        <w:jc w:val="both"/>
        <w:rPr>
          <w:rFonts w:ascii="Times New Roman" w:eastAsia="Times New Roman" w:hAnsi="Times New Roman" w:cs="Times New Roman"/>
          <w:bCs/>
          <w:sz w:val="24"/>
          <w:szCs w:val="24"/>
          <w:lang w:eastAsia="bg-BG"/>
        </w:rPr>
      </w:pPr>
      <w:r w:rsidRPr="00711051">
        <w:rPr>
          <w:rFonts w:ascii="Times New Roman" w:eastAsia="Times New Roman" w:hAnsi="Times New Roman" w:cs="Times New Roman"/>
          <w:bCs/>
          <w:sz w:val="24"/>
          <w:szCs w:val="24"/>
          <w:lang w:eastAsia="bg-BG"/>
        </w:rPr>
        <w:t>При използването и избора на фойерверките е важно да се обърне внимание на някои от следните акценти:</w:t>
      </w:r>
    </w:p>
    <w:p w:rsidR="00711051" w:rsidRPr="00711051" w:rsidRDefault="00711051" w:rsidP="00711051">
      <w:pPr>
        <w:numPr>
          <w:ilvl w:val="0"/>
          <w:numId w:val="1"/>
        </w:numPr>
        <w:spacing w:after="0" w:line="200" w:lineRule="atLeast"/>
        <w:ind w:left="993" w:right="1" w:hanging="426"/>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На фойерверките производителят трябва да е нанесъл трайно маркировка за съответствие - СЕ. Това показва, че фойерверките са произведени по европейските изисквания за безопасност.</w:t>
      </w:r>
    </w:p>
    <w:p w:rsidR="00711051" w:rsidRPr="00711051" w:rsidRDefault="00711051" w:rsidP="00711051">
      <w:pPr>
        <w:numPr>
          <w:ilvl w:val="0"/>
          <w:numId w:val="1"/>
        </w:numPr>
        <w:spacing w:after="0" w:line="200" w:lineRule="atLeast"/>
        <w:ind w:left="993" w:right="1" w:hanging="426"/>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Много важно е всеки фойерверк да се придружава от инструкция за употреба, съставена от производителя на български език. </w:t>
      </w:r>
    </w:p>
    <w:p w:rsidR="00711051" w:rsidRPr="00711051" w:rsidRDefault="00711051" w:rsidP="00711051">
      <w:pPr>
        <w:numPr>
          <w:ilvl w:val="0"/>
          <w:numId w:val="3"/>
        </w:numPr>
        <w:spacing w:after="0" w:line="240" w:lineRule="auto"/>
        <w:ind w:left="993" w:right="1"/>
        <w:jc w:val="both"/>
        <w:rPr>
          <w:rFonts w:ascii="Times New Roman" w:eastAsia="Times New Roman" w:hAnsi="Times New Roman" w:cs="Times New Roman"/>
          <w:bCs/>
          <w:sz w:val="24"/>
          <w:szCs w:val="24"/>
          <w:lang w:eastAsia="bg-BG"/>
        </w:rPr>
      </w:pPr>
      <w:r w:rsidRPr="00711051">
        <w:rPr>
          <w:rFonts w:ascii="Times New Roman" w:eastAsia="Times New Roman" w:hAnsi="Times New Roman" w:cs="Times New Roman"/>
          <w:bCs/>
          <w:sz w:val="24"/>
          <w:szCs w:val="24"/>
          <w:lang w:eastAsia="bg-BG"/>
        </w:rPr>
        <w:t xml:space="preserve">От инструкцията за употреба потребителят може да се информира за категорията на фойерверка, който трябва да бъде обозначен със следния код F1, F2, F3 и F4. Потребителят трябва да има предвид, че фойерверки от категория F4 са за професионална употреба и не могат да бъдат продавани на гражданите . </w:t>
      </w:r>
    </w:p>
    <w:p w:rsidR="00711051" w:rsidRPr="00711051" w:rsidRDefault="00711051" w:rsidP="00711051">
      <w:pPr>
        <w:numPr>
          <w:ilvl w:val="0"/>
          <w:numId w:val="3"/>
        </w:numPr>
        <w:spacing w:after="0" w:line="240" w:lineRule="auto"/>
        <w:ind w:left="993" w:right="1"/>
        <w:jc w:val="both"/>
        <w:rPr>
          <w:rFonts w:ascii="Times New Roman" w:eastAsia="Times New Roman" w:hAnsi="Times New Roman" w:cs="Times New Roman"/>
          <w:bCs/>
          <w:sz w:val="24"/>
          <w:szCs w:val="24"/>
          <w:lang w:eastAsia="bg-BG"/>
        </w:rPr>
      </w:pPr>
      <w:r w:rsidRPr="00711051">
        <w:rPr>
          <w:rFonts w:ascii="Times New Roman" w:eastAsia="Times New Roman" w:hAnsi="Times New Roman" w:cs="Times New Roman"/>
          <w:bCs/>
          <w:sz w:val="24"/>
          <w:szCs w:val="24"/>
          <w:lang w:eastAsia="bg-BG"/>
        </w:rPr>
        <w:t>Важно е потребителят да знае, че в зависимост от категорията фойерверките са предназначени за използване само на открито, като за категория F1 могат да се използват и в помещения и това задължително производителят го отбелязва върху етикета.</w:t>
      </w:r>
    </w:p>
    <w:p w:rsidR="00711051" w:rsidRPr="00711051" w:rsidRDefault="00711051" w:rsidP="00711051">
      <w:pPr>
        <w:numPr>
          <w:ilvl w:val="0"/>
          <w:numId w:val="3"/>
        </w:numPr>
        <w:spacing w:after="0" w:line="240" w:lineRule="auto"/>
        <w:ind w:left="993" w:right="1"/>
        <w:jc w:val="both"/>
        <w:rPr>
          <w:rFonts w:ascii="Times New Roman" w:eastAsia="Times New Roman" w:hAnsi="Times New Roman" w:cs="Times New Roman"/>
          <w:bCs/>
          <w:sz w:val="24"/>
          <w:szCs w:val="24"/>
          <w:lang w:eastAsia="bg-BG"/>
        </w:rPr>
      </w:pPr>
      <w:r w:rsidRPr="00711051">
        <w:rPr>
          <w:rFonts w:ascii="Times New Roman" w:eastAsia="Times New Roman" w:hAnsi="Times New Roman" w:cs="Times New Roman"/>
          <w:bCs/>
          <w:sz w:val="24"/>
          <w:szCs w:val="24"/>
          <w:lang w:eastAsia="bg-BG"/>
        </w:rPr>
        <w:t>В инструкцията трябва да е указан начинът на употреба на фойерверка включително и начина на закрепване, ако е необходим, като се посочва и минималното отстояние на безопасност.</w:t>
      </w:r>
      <w:r w:rsidRPr="00711051">
        <w:rPr>
          <w:rFonts w:ascii="Times New Roman" w:eastAsia="Times New Roman" w:hAnsi="Times New Roman" w:cs="Times New Roman"/>
          <w:bCs/>
          <w:sz w:val="24"/>
          <w:szCs w:val="24"/>
          <w:u w:val="single"/>
          <w:lang w:eastAsia="bg-BG"/>
        </w:rPr>
        <w:t xml:space="preserve"> </w:t>
      </w:r>
    </w:p>
    <w:p w:rsidR="00711051" w:rsidRPr="00711051" w:rsidRDefault="00711051" w:rsidP="00711051">
      <w:pPr>
        <w:numPr>
          <w:ilvl w:val="0"/>
          <w:numId w:val="3"/>
        </w:numPr>
        <w:spacing w:after="0" w:line="240" w:lineRule="auto"/>
        <w:ind w:left="993" w:right="1"/>
        <w:jc w:val="both"/>
        <w:rPr>
          <w:rFonts w:ascii="Times New Roman" w:eastAsia="Times New Roman" w:hAnsi="Times New Roman" w:cs="Times New Roman"/>
          <w:bCs/>
          <w:sz w:val="24"/>
          <w:szCs w:val="24"/>
          <w:lang w:eastAsia="bg-BG"/>
        </w:rPr>
      </w:pPr>
      <w:r w:rsidRPr="00711051">
        <w:rPr>
          <w:rFonts w:ascii="Times New Roman" w:eastAsia="Times New Roman" w:hAnsi="Times New Roman" w:cs="Times New Roman"/>
          <w:bCs/>
          <w:sz w:val="24"/>
          <w:szCs w:val="24"/>
          <w:lang w:eastAsia="bg-BG"/>
        </w:rPr>
        <w:t>Върху опаковката на фойерверка трябва да е обозначен името на производителя/вносителя и неговия адрес, както и нетното еквивалентно количество взривно вещество във изделието.</w:t>
      </w:r>
    </w:p>
    <w:p w:rsidR="00711051" w:rsidRPr="00711051" w:rsidRDefault="00711051" w:rsidP="00711051">
      <w:pPr>
        <w:numPr>
          <w:ilvl w:val="0"/>
          <w:numId w:val="1"/>
        </w:numPr>
        <w:spacing w:after="0" w:line="200" w:lineRule="atLeast"/>
        <w:ind w:left="993" w:right="1" w:hanging="426"/>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Важно е потребителите да знаят, че в зависимост от категорията фойерверк има законово изискване за възрастово ограничение за употребата на фойерверките и посочване на минималните разстояния за безопасност, както следва:</w:t>
      </w:r>
    </w:p>
    <w:p w:rsidR="00711051" w:rsidRPr="00711051" w:rsidRDefault="00711051" w:rsidP="00711051">
      <w:pPr>
        <w:numPr>
          <w:ilvl w:val="0"/>
          <w:numId w:val="3"/>
        </w:numPr>
        <w:spacing w:after="0" w:line="240" w:lineRule="auto"/>
        <w:ind w:left="993" w:right="1"/>
        <w:jc w:val="both"/>
        <w:rPr>
          <w:rFonts w:ascii="Times New Roman" w:eastAsia="Times New Roman" w:hAnsi="Times New Roman" w:cs="Times New Roman"/>
          <w:bCs/>
          <w:sz w:val="24"/>
          <w:szCs w:val="24"/>
          <w:lang w:eastAsia="bg-BG"/>
        </w:rPr>
      </w:pPr>
      <w:r w:rsidRPr="00711051">
        <w:rPr>
          <w:rFonts w:ascii="Times New Roman" w:eastAsia="Times New Roman" w:hAnsi="Times New Roman" w:cs="Times New Roman"/>
          <w:bCs/>
          <w:sz w:val="24"/>
          <w:szCs w:val="24"/>
          <w:lang w:eastAsia="bg-BG"/>
        </w:rPr>
        <w:lastRenderedPageBreak/>
        <w:t>Фойерверк от категория F1 – 1 m.</w:t>
      </w:r>
    </w:p>
    <w:p w:rsidR="00711051" w:rsidRPr="00711051" w:rsidRDefault="00711051" w:rsidP="00711051">
      <w:pPr>
        <w:numPr>
          <w:ilvl w:val="0"/>
          <w:numId w:val="3"/>
        </w:numPr>
        <w:spacing w:after="0" w:line="240" w:lineRule="auto"/>
        <w:ind w:left="993" w:right="1"/>
        <w:jc w:val="both"/>
        <w:rPr>
          <w:rFonts w:ascii="Times New Roman" w:eastAsia="Times New Roman" w:hAnsi="Times New Roman" w:cs="Times New Roman"/>
          <w:bCs/>
          <w:sz w:val="24"/>
          <w:szCs w:val="24"/>
          <w:lang w:eastAsia="bg-BG"/>
        </w:rPr>
      </w:pPr>
      <w:r w:rsidRPr="00711051">
        <w:rPr>
          <w:rFonts w:ascii="Times New Roman" w:eastAsia="Times New Roman" w:hAnsi="Times New Roman" w:cs="Times New Roman"/>
          <w:bCs/>
          <w:sz w:val="24"/>
          <w:szCs w:val="24"/>
          <w:lang w:eastAsia="bg-BG"/>
        </w:rPr>
        <w:t>Фойерверк от категория F2 – 8 m.</w:t>
      </w:r>
    </w:p>
    <w:p w:rsidR="00711051" w:rsidRPr="00711051" w:rsidRDefault="00711051" w:rsidP="00711051">
      <w:pPr>
        <w:numPr>
          <w:ilvl w:val="0"/>
          <w:numId w:val="3"/>
        </w:numPr>
        <w:spacing w:after="0" w:line="240" w:lineRule="auto"/>
        <w:ind w:left="993" w:right="1"/>
        <w:jc w:val="both"/>
        <w:rPr>
          <w:rFonts w:ascii="Times New Roman" w:eastAsia="Times New Roman" w:hAnsi="Times New Roman" w:cs="Times New Roman"/>
          <w:bCs/>
          <w:sz w:val="24"/>
          <w:szCs w:val="24"/>
          <w:lang w:eastAsia="bg-BG"/>
        </w:rPr>
      </w:pPr>
      <w:r w:rsidRPr="00711051">
        <w:rPr>
          <w:rFonts w:ascii="Times New Roman" w:eastAsia="Times New Roman" w:hAnsi="Times New Roman" w:cs="Times New Roman"/>
          <w:bCs/>
          <w:sz w:val="24"/>
          <w:szCs w:val="24"/>
          <w:lang w:eastAsia="bg-BG"/>
        </w:rPr>
        <w:t>Фойерверк от категория F3 – 15 м.</w:t>
      </w:r>
    </w:p>
    <w:p w:rsidR="00711051" w:rsidRPr="00711051" w:rsidRDefault="00711051" w:rsidP="00711051">
      <w:pPr>
        <w:ind w:right="1"/>
        <w:jc w:val="both"/>
        <w:rPr>
          <w:rFonts w:ascii="Calibri" w:eastAsia="Times New Roman" w:hAnsi="Calibri" w:cs="Times New Roman"/>
          <w:lang w:eastAsia="bg-BG"/>
        </w:rPr>
      </w:pPr>
      <w:r w:rsidRPr="00711051">
        <w:rPr>
          <w:rFonts w:ascii="Calibri" w:eastAsia="Times New Roman" w:hAnsi="Calibri" w:cs="Times New Roman"/>
          <w:lang w:eastAsia="bg-BG"/>
        </w:rPr>
        <w:t xml:space="preserve">   </w:t>
      </w:r>
    </w:p>
    <w:p w:rsidR="00711051" w:rsidRPr="00711051" w:rsidRDefault="00711051" w:rsidP="00711051">
      <w:pPr>
        <w:ind w:right="1"/>
        <w:jc w:val="both"/>
        <w:rPr>
          <w:rFonts w:ascii="Calibri" w:eastAsia="Times New Roman" w:hAnsi="Calibri" w:cs="Times New Roman"/>
          <w:lang w:eastAsia="bg-BG"/>
        </w:rPr>
      </w:pPr>
      <w:r w:rsidRPr="00711051">
        <w:rPr>
          <w:rFonts w:ascii="Calibri" w:eastAsia="Times New Roman" w:hAnsi="Calibri" w:cs="Times New Roman"/>
          <w:noProof/>
          <w:lang w:eastAsia="bg-BG"/>
        </w:rPr>
        <mc:AlternateContent>
          <mc:Choice Requires="wps">
            <w:drawing>
              <wp:anchor distT="0" distB="0" distL="114300" distR="114300" simplePos="0" relativeHeight="251661312" behindDoc="0" locked="0" layoutInCell="1" allowOverlap="1" wp14:anchorId="40C015CE" wp14:editId="2411455F">
                <wp:simplePos x="0" y="0"/>
                <wp:positionH relativeFrom="column">
                  <wp:posOffset>456565</wp:posOffset>
                </wp:positionH>
                <wp:positionV relativeFrom="paragraph">
                  <wp:posOffset>38100</wp:posOffset>
                </wp:positionV>
                <wp:extent cx="5349240" cy="510540"/>
                <wp:effectExtent l="0" t="0" r="3810" b="38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510540"/>
                        </a:xfrm>
                        <a:prstGeom prst="rect">
                          <a:avLst/>
                        </a:prstGeom>
                        <a:solidFill>
                          <a:srgbClr val="5B9BD5"/>
                        </a:solidFill>
                        <a:ln w="12700" cap="flat" cmpd="sng" algn="ctr">
                          <a:solidFill>
                            <a:srgbClr val="5B9BD5">
                              <a:shade val="50000"/>
                            </a:srgbClr>
                          </a:solidFill>
                          <a:prstDash val="solid"/>
                          <a:miter lim="800000"/>
                        </a:ln>
                        <a:effectLst/>
                      </wps:spPr>
                      <wps:txbx>
                        <w:txbxContent>
                          <w:p w:rsidR="00711051" w:rsidRPr="00B445DD" w:rsidRDefault="00711051" w:rsidP="00711051">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015CE" id="Rectangle 45" o:spid="_x0000_s1030" style="position:absolute;left:0;text-align:left;margin-left:35.95pt;margin-top:3pt;width:421.2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" fillcolor="#5b9bd5" strokecolor="#41719c" strokeweight="1pt">
                <v:path arrowok="t"/>
                <v:textbox>
                  <w:txbxContent>
                    <w:p w:rsidR="00711051" w:rsidRPr="00B445DD" w:rsidRDefault="00711051" w:rsidP="00711051">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v:textbox>
              </v:rect>
            </w:pict>
          </mc:Fallback>
        </mc:AlternateContent>
      </w:r>
    </w:p>
    <w:p w:rsidR="00711051" w:rsidRPr="00711051" w:rsidRDefault="00711051" w:rsidP="00711051">
      <w:pPr>
        <w:ind w:right="1"/>
        <w:jc w:val="both"/>
        <w:rPr>
          <w:rFonts w:ascii="Calibri" w:eastAsia="Times New Roman" w:hAnsi="Calibri" w:cs="Times New Roman"/>
          <w:lang w:eastAsia="bg-BG"/>
        </w:rPr>
      </w:pPr>
      <w:r w:rsidRPr="00711051">
        <w:rPr>
          <w:rFonts w:ascii="Calibri" w:eastAsia="Times New Roman" w:hAnsi="Calibri" w:cs="Times New Roman"/>
          <w:lang w:eastAsia="bg-BG"/>
        </w:rPr>
        <w:t xml:space="preserve">                                         </w:t>
      </w:r>
    </w:p>
    <w:p w:rsidR="00711051" w:rsidRPr="00711051" w:rsidRDefault="00711051" w:rsidP="00711051">
      <w:pPr>
        <w:shd w:val="clear" w:color="auto" w:fill="FFFFFF"/>
        <w:spacing w:after="0" w:line="240" w:lineRule="auto"/>
        <w:ind w:right="1"/>
        <w:rPr>
          <w:rFonts w:ascii="Times New Roman" w:eastAsia="Times New Roman" w:hAnsi="Times New Roman" w:cs="Times New Roman"/>
          <w:sz w:val="24"/>
          <w:szCs w:val="24"/>
          <w:lang w:eastAsia="bg-BG"/>
        </w:rPr>
      </w:pPr>
    </w:p>
    <w:p w:rsidR="00711051" w:rsidRPr="00711051" w:rsidRDefault="00711051" w:rsidP="00711051">
      <w:pPr>
        <w:shd w:val="clear" w:color="auto" w:fill="FFFFFF"/>
        <w:spacing w:after="0" w:line="240" w:lineRule="auto"/>
        <w:outlineLvl w:val="1"/>
        <w:rPr>
          <w:rFonts w:ascii="Times New Roman" w:eastAsia="Times New Roman" w:hAnsi="Times New Roman" w:cs="Times New Roman"/>
          <w:b/>
          <w:sz w:val="24"/>
          <w:szCs w:val="24"/>
          <w:vertAlign w:val="superscript"/>
          <w:lang w:eastAsia="bg-BG"/>
        </w:rPr>
      </w:pPr>
      <w:bookmarkStart w:id="5" w:name="_Toc196818239"/>
      <w:r w:rsidRPr="00711051">
        <w:rPr>
          <w:rFonts w:ascii="Times New Roman" w:eastAsia="Open Sans Bold" w:hAnsi="Times New Roman" w:cs="Times New Roman"/>
          <w:b/>
          <w:bCs/>
          <w:color w:val="1A62FF"/>
          <w:sz w:val="24"/>
          <w:szCs w:val="24"/>
          <w:highlight w:val="lightGray"/>
          <w:u w:val="single" w:color="1A62FF"/>
          <w:lang w:eastAsia="bg-BG"/>
        </w:rPr>
        <w:t>3.4. Играчки. Изисквания за играчките</w:t>
      </w:r>
      <w:r w:rsidRPr="00711051">
        <w:rPr>
          <w:rFonts w:ascii="Times New Roman" w:eastAsia="Times New Roman" w:hAnsi="Times New Roman" w:cs="Times New Roman"/>
          <w:b/>
          <w:sz w:val="24"/>
          <w:szCs w:val="24"/>
          <w:vertAlign w:val="superscript"/>
          <w:lang w:eastAsia="bg-BG"/>
        </w:rPr>
        <w:footnoteReference w:id="5"/>
      </w:r>
      <w:bookmarkEnd w:id="5"/>
    </w:p>
    <w:p w:rsidR="00711051" w:rsidRPr="00711051" w:rsidRDefault="00711051" w:rsidP="00711051">
      <w:pPr>
        <w:shd w:val="clear" w:color="auto" w:fill="FFFFFF"/>
        <w:spacing w:after="0" w:line="240" w:lineRule="auto"/>
        <w:ind w:right="1"/>
        <w:rPr>
          <w:rFonts w:ascii="Times New Roman" w:eastAsia="Times New Roman" w:hAnsi="Times New Roman" w:cs="Times New Roman"/>
          <w:b/>
          <w:sz w:val="24"/>
          <w:szCs w:val="24"/>
          <w:lang w:eastAsia="bg-BG"/>
        </w:rPr>
      </w:pP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 зависимост от предназначението си играчките, които се използват на обществени места, могат да бъдат:</w:t>
      </w:r>
    </w:p>
    <w:p w:rsidR="00711051" w:rsidRPr="00711051" w:rsidRDefault="00711051" w:rsidP="00711051">
      <w:pPr>
        <w:numPr>
          <w:ilvl w:val="0"/>
          <w:numId w:val="7"/>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Функционална играчка , която извършва определени действия и се употребява по същия начин като продукт, уред или съоръжение, предназначен за употреба от възрастни, и представлява умален модел на такъв продукт, уред или съоръжение;</w:t>
      </w:r>
    </w:p>
    <w:p w:rsidR="00711051" w:rsidRPr="00711051" w:rsidRDefault="00711051" w:rsidP="00711051">
      <w:pPr>
        <w:numPr>
          <w:ilvl w:val="0"/>
          <w:numId w:val="7"/>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Играчка, предназначена за ползване в плитки води, която може да носи или поддържа дете над водата;</w:t>
      </w:r>
    </w:p>
    <w:p w:rsidR="00711051" w:rsidRPr="00711051" w:rsidRDefault="00711051" w:rsidP="00711051">
      <w:pPr>
        <w:numPr>
          <w:ilvl w:val="0"/>
          <w:numId w:val="7"/>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Химическа играчка, предназначена за пряк контакт с химични вещества и смеси, която се използва по подходящ за възрастовата група начин и под надзора на възрастен, например химически комплекти, комплекти за пластмасови или керамични отливки, миниатюрни работилници за керамика, емайлиране или фотография, както и други подобни играчки, които предизвикват химични реакции или сходни изменения във веществата при употреба;</w:t>
      </w:r>
    </w:p>
    <w:p w:rsidR="00711051" w:rsidRPr="00711051" w:rsidRDefault="00711051" w:rsidP="00711051">
      <w:pPr>
        <w:numPr>
          <w:ilvl w:val="0"/>
          <w:numId w:val="7"/>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Игра за развиване на обонянието, чиято цел е да помогне на детето да се научи да разпознава различни миризми и аромати;</w:t>
      </w:r>
    </w:p>
    <w:p w:rsidR="00711051" w:rsidRPr="00711051" w:rsidRDefault="00711051" w:rsidP="00711051">
      <w:pPr>
        <w:numPr>
          <w:ilvl w:val="0"/>
          <w:numId w:val="7"/>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Игра за развиване на вкусовото възприятие, целта на която е да позволи на детето да приготвя сладкиши или блюда, включващи използването на хранителни съставки, като подсладители, течности, прахообразни вещества и аромати.</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При използването и избора на играчки е важно да се обърне внимание на някои от следните акценти:</w:t>
      </w: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Играчките, включително химичните вещества, които те съдържат, не трябва да застрашават безопасността или здравето на потребителите при употребата им по предназначение или при употребата им по предвидим начин, като се има предвид поведението на децата. </w:t>
      </w: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Cs/>
          <w:sz w:val="24"/>
          <w:szCs w:val="24"/>
          <w:lang w:eastAsia="bg-BG"/>
        </w:rPr>
        <w:t xml:space="preserve">Върху играчките или тяхната опаковка производителят трябва да е нанесъл </w:t>
      </w:r>
      <w:r w:rsidRPr="00711051">
        <w:rPr>
          <w:rFonts w:ascii="Times New Roman" w:eastAsia="Times New Roman" w:hAnsi="Times New Roman" w:cs="Times New Roman"/>
          <w:sz w:val="24"/>
          <w:szCs w:val="24"/>
          <w:lang w:eastAsia="bg-BG"/>
        </w:rPr>
        <w:t xml:space="preserve"> маркировката „CE” и информация за адреса и наименованието на производителя и/или вносителя. Играчките за деца под 3 години трябва да имат върху опаковката този знак:</w:t>
      </w:r>
    </w:p>
    <w:p w:rsidR="00711051" w:rsidRPr="00711051" w:rsidRDefault="00711051" w:rsidP="00711051">
      <w:pPr>
        <w:tabs>
          <w:tab w:val="left" w:pos="1134"/>
        </w:tabs>
        <w:autoSpaceDE w:val="0"/>
        <w:autoSpaceDN w:val="0"/>
        <w:adjustRightInd w:val="0"/>
        <w:spacing w:after="0" w:line="240" w:lineRule="auto"/>
        <w:ind w:left="284" w:right="1"/>
        <w:jc w:val="both"/>
        <w:rPr>
          <w:rFonts w:ascii="Times New Roman" w:eastAsia="Times New Roman" w:hAnsi="Times New Roman" w:cs="Times New Roman"/>
          <w:sz w:val="24"/>
          <w:szCs w:val="24"/>
          <w:lang w:eastAsia="bg-BG"/>
        </w:rPr>
      </w:pPr>
      <w:r w:rsidRPr="00711051">
        <w:rPr>
          <w:rFonts w:ascii="Calibri" w:eastAsia="Times New Roman" w:hAnsi="Calibri" w:cs="Times New Roman"/>
          <w:noProof/>
          <w:lang w:eastAsia="bg-BG"/>
        </w:rPr>
        <w:drawing>
          <wp:anchor distT="0" distB="0" distL="114300" distR="114300" simplePos="0" relativeHeight="251659264" behindDoc="1" locked="0" layoutInCell="1" allowOverlap="1" wp14:anchorId="459F1691" wp14:editId="03319657">
            <wp:simplePos x="0" y="0"/>
            <wp:positionH relativeFrom="column">
              <wp:posOffset>2635250</wp:posOffset>
            </wp:positionH>
            <wp:positionV relativeFrom="paragraph">
              <wp:posOffset>13970</wp:posOffset>
            </wp:positionV>
            <wp:extent cx="612775" cy="505460"/>
            <wp:effectExtent l="0" t="0" r="0" b="0"/>
            <wp:wrapTight wrapText="bothSides">
              <wp:wrapPolygon edited="0">
                <wp:start x="0" y="0"/>
                <wp:lineTo x="0" y="21166"/>
                <wp:lineTo x="20817" y="21166"/>
                <wp:lineTo x="20817" y="0"/>
                <wp:lineTo x="0" y="0"/>
              </wp:wrapPolygon>
            </wp:wrapTight>
            <wp:docPr id="1"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775" cy="505460"/>
                    </a:xfrm>
                    <a:prstGeom prst="rect">
                      <a:avLst/>
                    </a:prstGeom>
                    <a:noFill/>
                  </pic:spPr>
                </pic:pic>
              </a:graphicData>
            </a:graphic>
            <wp14:sizeRelH relativeFrom="page">
              <wp14:pctWidth>0</wp14:pctWidth>
            </wp14:sizeRelH>
            <wp14:sizeRelV relativeFrom="page">
              <wp14:pctHeight>0</wp14:pctHeight>
            </wp14:sizeRelV>
          </wp:anchor>
        </w:drawing>
      </w:r>
    </w:p>
    <w:p w:rsidR="00711051" w:rsidRPr="00711051" w:rsidRDefault="00711051" w:rsidP="00711051">
      <w:pPr>
        <w:spacing w:after="0" w:line="240" w:lineRule="auto"/>
        <w:ind w:left="284" w:right="1"/>
        <w:jc w:val="both"/>
        <w:rPr>
          <w:rFonts w:ascii="Times New Roman" w:eastAsia="Times New Roman" w:hAnsi="Times New Roman" w:cs="Times New Roman"/>
          <w:b/>
          <w:sz w:val="24"/>
          <w:szCs w:val="24"/>
          <w:lang w:eastAsia="bg-BG"/>
        </w:rPr>
      </w:pPr>
    </w:p>
    <w:p w:rsidR="00711051" w:rsidRPr="00711051" w:rsidRDefault="00711051" w:rsidP="00711051">
      <w:pPr>
        <w:spacing w:after="0" w:line="240" w:lineRule="auto"/>
        <w:ind w:left="284" w:right="1"/>
        <w:jc w:val="both"/>
        <w:rPr>
          <w:rFonts w:ascii="Times New Roman" w:eastAsia="Times New Roman" w:hAnsi="Times New Roman" w:cs="Times New Roman"/>
          <w:b/>
          <w:sz w:val="24"/>
          <w:szCs w:val="24"/>
          <w:lang w:eastAsia="bg-BG"/>
        </w:rPr>
      </w:pPr>
    </w:p>
    <w:p w:rsidR="00711051" w:rsidRPr="00711051" w:rsidRDefault="00711051" w:rsidP="00711051">
      <w:pPr>
        <w:spacing w:after="0" w:line="240" w:lineRule="auto"/>
        <w:ind w:left="709"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или да е нанесено следното предупреждение: „Неподходящо за деца на възраст под 36 месеца”, с текст, поясняващ причината, поради която този текст е нанесен (обикновено риск от задавяне поради наличие на лесно достъпни или лесно отделящи се малки части);</w:t>
      </w: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lastRenderedPageBreak/>
        <w:t>Играчките трябва да се придружават от инструкция за употреба и информация за безопасност на български език.</w:t>
      </w: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Върху играчката, върху прикрепен етикет, върху опаковката или в инструкцията за употреба трябва да е посочена най-малко минимална или максимална възраст на детето; уменията, които се изискват от него, максималното или минималното му тегло и предупреждение играчката да се употребява под надзора на възрастен.</w:t>
      </w:r>
    </w:p>
    <w:p w:rsidR="00711051" w:rsidRPr="00711051" w:rsidRDefault="00711051" w:rsidP="00711051">
      <w:pPr>
        <w:spacing w:after="0" w:line="240" w:lineRule="auto"/>
        <w:ind w:left="142" w:right="1"/>
        <w:jc w:val="both"/>
        <w:rPr>
          <w:rFonts w:ascii="Times New Roman" w:eastAsia="Times New Roman" w:hAnsi="Times New Roman" w:cs="Times New Roman"/>
          <w:b/>
          <w:sz w:val="24"/>
          <w:szCs w:val="24"/>
          <w:lang w:eastAsia="bg-BG"/>
        </w:rPr>
      </w:pPr>
    </w:p>
    <w:p w:rsidR="00711051" w:rsidRPr="00711051" w:rsidRDefault="00711051" w:rsidP="00711051">
      <w:pPr>
        <w:shd w:val="clear" w:color="auto" w:fill="FFFFFF"/>
        <w:spacing w:after="0" w:line="240" w:lineRule="auto"/>
        <w:ind w:right="1"/>
        <w:rPr>
          <w:rFonts w:ascii="Times New Roman" w:eastAsia="Times New Roman" w:hAnsi="Times New Roman" w:cs="Times New Roman"/>
          <w:b/>
          <w:spacing w:val="-2"/>
          <w:sz w:val="24"/>
          <w:szCs w:val="24"/>
          <w:shd w:val="clear" w:color="auto" w:fill="FFFFFF"/>
          <w:lang w:eastAsia="bg-BG"/>
        </w:rPr>
      </w:pPr>
      <w:r w:rsidRPr="00711051">
        <w:rPr>
          <w:rFonts w:ascii="Times New Roman" w:eastAsia="Times New Roman" w:hAnsi="Times New Roman" w:cs="Times New Roman"/>
          <w:b/>
          <w:spacing w:val="-2"/>
          <w:sz w:val="24"/>
          <w:szCs w:val="24"/>
          <w:shd w:val="clear" w:color="auto" w:fill="FFFFFF"/>
          <w:lang w:eastAsia="bg-BG"/>
        </w:rPr>
        <w:t>Препоръки към родители:</w:t>
      </w:r>
    </w:p>
    <w:p w:rsidR="00711051" w:rsidRPr="00711051" w:rsidRDefault="00711051" w:rsidP="00711051">
      <w:pPr>
        <w:shd w:val="clear" w:color="auto" w:fill="FFFFFF"/>
        <w:spacing w:after="0" w:line="240" w:lineRule="auto"/>
        <w:ind w:right="1"/>
        <w:rPr>
          <w:rFonts w:ascii="Arial" w:eastAsia="Times New Roman" w:hAnsi="Arial" w:cs="Arial"/>
          <w:spacing w:val="-2"/>
          <w:sz w:val="21"/>
          <w:szCs w:val="21"/>
          <w:shd w:val="clear" w:color="auto" w:fill="FFFFFF"/>
          <w:lang w:eastAsia="bg-BG"/>
        </w:rPr>
      </w:pP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 купувайте играчки, захранвани с достъпни без помощта на инструмент батерии (напр. т.нар. тип „бутон”, „копче“, „часовникови” или R1). Поглъщането на такива батерии носи риск от задавяне или химическо изгаряне.</w:t>
      </w:r>
    </w:p>
    <w:p w:rsidR="00711051" w:rsidRPr="00711051" w:rsidRDefault="00711051" w:rsidP="00711051">
      <w:pPr>
        <w:spacing w:after="0" w:line="240" w:lineRule="auto"/>
        <w:ind w:left="284" w:right="1"/>
        <w:contextualSpacing/>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right="1"/>
        <w:jc w:val="both"/>
        <w:rPr>
          <w:rFonts w:ascii="Times New Roman" w:eastAsia="Times New Roman" w:hAnsi="Times New Roman" w:cs="Times New Roman"/>
          <w:b/>
          <w:i/>
          <w:sz w:val="24"/>
          <w:szCs w:val="24"/>
          <w:lang w:eastAsia="bg-BG"/>
        </w:rPr>
      </w:pPr>
      <w:r w:rsidRPr="00711051">
        <w:rPr>
          <w:rFonts w:ascii="Times New Roman" w:eastAsia="Times New Roman" w:hAnsi="Times New Roman" w:cs="Times New Roman"/>
          <w:b/>
          <w:i/>
          <w:sz w:val="24"/>
          <w:szCs w:val="24"/>
          <w:lang w:eastAsia="bg-BG"/>
        </w:rPr>
        <w:t xml:space="preserve">                                              </w:t>
      </w:r>
      <w:r w:rsidRPr="00711051">
        <w:rPr>
          <w:rFonts w:ascii="Times New Roman" w:eastAsia="Times New Roman" w:hAnsi="Times New Roman" w:cs="Times New Roman"/>
          <w:b/>
          <w:i/>
          <w:noProof/>
          <w:sz w:val="24"/>
          <w:szCs w:val="24"/>
          <w:lang w:eastAsia="bg-BG"/>
        </w:rPr>
        <w:drawing>
          <wp:inline distT="0" distB="0" distL="0" distR="0" wp14:anchorId="20613D08" wp14:editId="4D6F22F1">
            <wp:extent cx="1188720" cy="1005840"/>
            <wp:effectExtent l="0" t="0" r="0" b="0"/>
            <wp:docPr id="2" name="Картина 9" descr="http://upload.wikimedia.org/wikipedia/commons/thumb/c/c7/Coin-cells.jpg/220px-Coin-cell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http://upload.wikimedia.org/wikipedia/commons/thumb/c/c7/Coin-cells.jpg/220px-Coin-cells.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005840"/>
                    </a:xfrm>
                    <a:prstGeom prst="rect">
                      <a:avLst/>
                    </a:prstGeom>
                    <a:noFill/>
                    <a:ln>
                      <a:noFill/>
                    </a:ln>
                  </pic:spPr>
                </pic:pic>
              </a:graphicData>
            </a:graphic>
          </wp:inline>
        </w:drawing>
      </w:r>
      <w:r w:rsidRPr="00711051">
        <w:rPr>
          <w:rFonts w:ascii="Times New Roman" w:eastAsia="Times New Roman" w:hAnsi="Times New Roman" w:cs="Times New Roman"/>
          <w:b/>
          <w:i/>
          <w:sz w:val="24"/>
          <w:szCs w:val="24"/>
          <w:lang w:eastAsia="bg-BG"/>
        </w:rPr>
        <w:t xml:space="preserve">     </w:t>
      </w:r>
    </w:p>
    <w:p w:rsidR="00711051" w:rsidRPr="00711051" w:rsidRDefault="00711051" w:rsidP="00711051">
      <w:pPr>
        <w:autoSpaceDE w:val="0"/>
        <w:autoSpaceDN w:val="0"/>
        <w:adjustRightInd w:val="0"/>
        <w:spacing w:after="0" w:line="240" w:lineRule="auto"/>
        <w:ind w:right="1"/>
        <w:jc w:val="both"/>
        <w:rPr>
          <w:rFonts w:ascii="Times New Roman" w:eastAsia="Times New Roman" w:hAnsi="Times New Roman" w:cs="Times New Roman"/>
          <w:b/>
          <w:sz w:val="24"/>
          <w:szCs w:val="24"/>
          <w:lang w:eastAsia="bg-BG"/>
        </w:rPr>
      </w:pP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След закупуването на играчка задължително се запознайте с предупрежденията и инструкциите за безопасна употреба, които трябва да бъдат на български език. Спазвайте препоръките за поддържане хигиената на играчките, предназначени за деца под 36 месеца. Тези играчки трябва задължително да имат указания за начина на почистването им. Например меките пълнени играчки трябва да имат трайно прикачен към шева на играчката етикет с нанесени символи както е показано по-долу.</w:t>
      </w:r>
    </w:p>
    <w:p w:rsidR="00711051" w:rsidRPr="00711051" w:rsidRDefault="00711051" w:rsidP="00711051">
      <w:pPr>
        <w:spacing w:after="0" w:line="240" w:lineRule="auto"/>
        <w:ind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noProof/>
          <w:sz w:val="24"/>
          <w:szCs w:val="24"/>
          <w:lang w:eastAsia="bg-BG"/>
        </w:rPr>
        <w:drawing>
          <wp:inline distT="0" distB="0" distL="0" distR="0" wp14:anchorId="3B9C4986" wp14:editId="75BD6894">
            <wp:extent cx="2286000" cy="1280160"/>
            <wp:effectExtent l="0" t="0" r="0" b="0"/>
            <wp:docPr id="3"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inline>
        </w:drawing>
      </w:r>
      <w:r w:rsidRPr="00711051">
        <w:rPr>
          <w:rFonts w:ascii="Times New Roman" w:eastAsia="Times New Roman" w:hAnsi="Times New Roman" w:cs="Times New Roman"/>
          <w:b/>
          <w:noProof/>
          <w:sz w:val="24"/>
          <w:szCs w:val="24"/>
          <w:lang w:eastAsia="bg-BG"/>
        </w:rPr>
        <w:tab/>
      </w:r>
      <w:r w:rsidRPr="00711051">
        <w:rPr>
          <w:rFonts w:ascii="Times New Roman" w:eastAsia="Times New Roman" w:hAnsi="Times New Roman" w:cs="Times New Roman"/>
          <w:b/>
          <w:noProof/>
          <w:sz w:val="24"/>
          <w:szCs w:val="24"/>
          <w:lang w:eastAsia="bg-BG"/>
        </w:rPr>
        <w:tab/>
      </w:r>
      <w:r w:rsidRPr="00711051">
        <w:rPr>
          <w:rFonts w:ascii="Times New Roman" w:eastAsia="Times New Roman" w:hAnsi="Times New Roman" w:cs="Times New Roman"/>
          <w:b/>
          <w:noProof/>
          <w:sz w:val="24"/>
          <w:szCs w:val="24"/>
          <w:lang w:eastAsia="bg-BG"/>
        </w:rPr>
        <w:drawing>
          <wp:inline distT="0" distB="0" distL="0" distR="0" wp14:anchorId="7E61D9DE" wp14:editId="0AF00D44">
            <wp:extent cx="2194560" cy="1280160"/>
            <wp:effectExtent l="0" t="0" r="0" b="0"/>
            <wp:docPr id="4"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1280160"/>
                    </a:xfrm>
                    <a:prstGeom prst="rect">
                      <a:avLst/>
                    </a:prstGeom>
                    <a:noFill/>
                    <a:ln>
                      <a:noFill/>
                    </a:ln>
                  </pic:spPr>
                </pic:pic>
              </a:graphicData>
            </a:graphic>
          </wp:inline>
        </w:drawing>
      </w:r>
    </w:p>
    <w:p w:rsidR="00711051" w:rsidRPr="00711051" w:rsidRDefault="00711051" w:rsidP="00711051">
      <w:pPr>
        <w:spacing w:after="0" w:line="240" w:lineRule="auto"/>
        <w:ind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ab/>
      </w: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Меките пълнени играчки, съдържащи механизъм, се почистват повърхностно, за да не се увреди механизмът.</w:t>
      </w:r>
    </w:p>
    <w:p w:rsidR="00711051" w:rsidRPr="00711051" w:rsidRDefault="00711051" w:rsidP="00711051">
      <w:pPr>
        <w:tabs>
          <w:tab w:val="left" w:pos="1134"/>
        </w:tabs>
        <w:autoSpaceDE w:val="0"/>
        <w:autoSpaceDN w:val="0"/>
        <w:adjustRightInd w:val="0"/>
        <w:spacing w:after="0" w:line="241" w:lineRule="atLeast"/>
        <w:ind w:right="1"/>
        <w:jc w:val="both"/>
        <w:rPr>
          <w:rFonts w:ascii="Times New Roman" w:eastAsia="Times New Roman" w:hAnsi="Times New Roman" w:cs="Times New Roman"/>
          <w:sz w:val="24"/>
          <w:szCs w:val="24"/>
          <w:lang w:eastAsia="bg-BG"/>
        </w:rPr>
      </w:pPr>
    </w:p>
    <w:p w:rsidR="00711051" w:rsidRPr="00711051" w:rsidRDefault="00711051" w:rsidP="00711051">
      <w:pPr>
        <w:tabs>
          <w:tab w:val="left" w:pos="1134"/>
        </w:tabs>
        <w:autoSpaceDE w:val="0"/>
        <w:autoSpaceDN w:val="0"/>
        <w:adjustRightInd w:val="0"/>
        <w:spacing w:after="0" w:line="241" w:lineRule="atLeast"/>
        <w:ind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sz w:val="24"/>
          <w:szCs w:val="24"/>
          <w:lang w:eastAsia="bg-BG"/>
        </w:rPr>
        <w:t xml:space="preserve">      Задължително наблюдавайте децата, докато играят със следните категории играчки:</w:t>
      </w:r>
    </w:p>
    <w:p w:rsidR="00711051" w:rsidRPr="00711051" w:rsidRDefault="00711051" w:rsidP="00711051">
      <w:pPr>
        <w:numPr>
          <w:ilvl w:val="0"/>
          <w:numId w:val="7"/>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функционални - извършват определени действия и са умалени модели на продуктите, уредите или съоръженията, предназначени за употреба от възрастни като шевни машини, кафеварки и др.;</w:t>
      </w:r>
    </w:p>
    <w:p w:rsidR="00711051" w:rsidRPr="00711051" w:rsidRDefault="00711051" w:rsidP="00711051">
      <w:pPr>
        <w:numPr>
          <w:ilvl w:val="0"/>
          <w:numId w:val="7"/>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химически – предназначени за пряк контакт с химични вещества и смеси;</w:t>
      </w:r>
    </w:p>
    <w:p w:rsidR="00711051" w:rsidRPr="00711051" w:rsidRDefault="00711051" w:rsidP="00711051">
      <w:pPr>
        <w:numPr>
          <w:ilvl w:val="0"/>
          <w:numId w:val="7"/>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предназначени за ползване във вода – това са пояси, дюшеци и др.;</w:t>
      </w:r>
    </w:p>
    <w:p w:rsidR="00711051" w:rsidRPr="00711051" w:rsidRDefault="00711051" w:rsidP="00711051">
      <w:pPr>
        <w:numPr>
          <w:ilvl w:val="0"/>
          <w:numId w:val="7"/>
        </w:numPr>
        <w:autoSpaceDE w:val="0"/>
        <w:autoSpaceDN w:val="0"/>
        <w:adjustRightInd w:val="0"/>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поставени в храни. </w:t>
      </w:r>
    </w:p>
    <w:p w:rsidR="00711051" w:rsidRPr="00711051" w:rsidRDefault="00711051" w:rsidP="00711051">
      <w:pPr>
        <w:autoSpaceDE w:val="0"/>
        <w:autoSpaceDN w:val="0"/>
        <w:adjustRightInd w:val="0"/>
        <w:spacing w:after="0" w:line="240" w:lineRule="auto"/>
        <w:ind w:right="1"/>
        <w:jc w:val="both"/>
        <w:rPr>
          <w:rFonts w:ascii="Times New Roman" w:eastAsia="Times New Roman" w:hAnsi="Times New Roman" w:cs="Times New Roman"/>
          <w:sz w:val="24"/>
          <w:szCs w:val="24"/>
          <w:lang w:eastAsia="bg-BG"/>
        </w:rPr>
      </w:pP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Осигурете лични предпазни средства на децата си (за защита на главата, ръцете и краката) когато играят с кънки, ролкови кънки, ролери, скейтборди, тротинетки, скутери, детски велосипеди и др. Съблюдавайте да не се движат с изброените играчки по пътното платно.</w:t>
      </w:r>
    </w:p>
    <w:p w:rsidR="00711051" w:rsidRPr="00711051" w:rsidRDefault="00711051" w:rsidP="00711051">
      <w:pPr>
        <w:spacing w:after="0" w:line="240" w:lineRule="auto"/>
        <w:ind w:left="720" w:right="1"/>
        <w:contextualSpacing/>
        <w:jc w:val="both"/>
        <w:rPr>
          <w:rFonts w:ascii="Times New Roman" w:eastAsia="Times New Roman" w:hAnsi="Times New Roman" w:cs="Times New Roman"/>
          <w:sz w:val="24"/>
          <w:szCs w:val="24"/>
          <w:lang w:eastAsia="bg-BG"/>
        </w:rPr>
      </w:pP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Отстранете опаковката и я изхвърлете на подходящите за това места, когато тя не е част от играта. Уверете се, че децата не си играят с полимерни опаковки, които могат да причинят задушаване. </w:t>
      </w:r>
    </w:p>
    <w:p w:rsidR="00711051" w:rsidRPr="00711051" w:rsidRDefault="00711051" w:rsidP="00711051">
      <w:pPr>
        <w:spacing w:after="0" w:line="240" w:lineRule="auto"/>
        <w:ind w:left="720" w:right="1"/>
        <w:contextualSpacing/>
        <w:jc w:val="both"/>
        <w:rPr>
          <w:rFonts w:ascii="Times New Roman" w:eastAsia="Times New Roman" w:hAnsi="Times New Roman" w:cs="Times New Roman"/>
          <w:sz w:val="24"/>
          <w:szCs w:val="24"/>
          <w:lang w:eastAsia="bg-BG"/>
        </w:rPr>
      </w:pP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 изхвърляйте електрически и електронни играчки в общия поток битови отпадъци, обозначени със следната маркировка:</w:t>
      </w:r>
    </w:p>
    <w:p w:rsidR="00711051" w:rsidRPr="00711051" w:rsidRDefault="00711051" w:rsidP="00711051">
      <w:pPr>
        <w:autoSpaceDE w:val="0"/>
        <w:autoSpaceDN w:val="0"/>
        <w:adjustRightInd w:val="0"/>
        <w:spacing w:after="0"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ab/>
      </w:r>
      <w:r w:rsidRPr="00711051">
        <w:rPr>
          <w:rFonts w:ascii="Times New Roman" w:eastAsia="Times New Roman" w:hAnsi="Times New Roman" w:cs="Times New Roman"/>
          <w:sz w:val="24"/>
          <w:szCs w:val="24"/>
          <w:lang w:eastAsia="bg-BG"/>
        </w:rPr>
        <w:tab/>
      </w:r>
      <w:r w:rsidRPr="00711051">
        <w:rPr>
          <w:rFonts w:ascii="Times New Roman" w:eastAsia="Times New Roman" w:hAnsi="Times New Roman" w:cs="Times New Roman"/>
          <w:sz w:val="24"/>
          <w:szCs w:val="24"/>
          <w:lang w:eastAsia="bg-BG"/>
        </w:rPr>
        <w:tab/>
      </w:r>
      <w:r w:rsidRPr="00711051">
        <w:rPr>
          <w:rFonts w:ascii="Times New Roman" w:eastAsia="Times New Roman" w:hAnsi="Times New Roman" w:cs="Times New Roman"/>
          <w:sz w:val="24"/>
          <w:szCs w:val="24"/>
          <w:lang w:eastAsia="bg-BG"/>
        </w:rPr>
        <w:tab/>
      </w:r>
      <w:r w:rsidRPr="00711051">
        <w:rPr>
          <w:rFonts w:ascii="Times New Roman" w:eastAsia="Times New Roman" w:hAnsi="Times New Roman" w:cs="Times New Roman"/>
          <w:sz w:val="24"/>
          <w:szCs w:val="24"/>
          <w:lang w:eastAsia="bg-BG"/>
        </w:rPr>
        <w:tab/>
      </w:r>
      <w:r w:rsidRPr="00711051">
        <w:rPr>
          <w:rFonts w:ascii="Times New Roman" w:eastAsia="Times New Roman" w:hAnsi="Times New Roman" w:cs="Times New Roman"/>
          <w:sz w:val="24"/>
          <w:szCs w:val="24"/>
          <w:lang w:eastAsia="bg-BG"/>
        </w:rPr>
        <w:tab/>
      </w:r>
      <w:r w:rsidRPr="00711051">
        <w:rPr>
          <w:rFonts w:ascii="Times New Roman" w:eastAsia="Times New Roman" w:hAnsi="Times New Roman" w:cs="Times New Roman"/>
          <w:noProof/>
          <w:sz w:val="24"/>
          <w:szCs w:val="24"/>
          <w:lang w:eastAsia="bg-BG"/>
        </w:rPr>
        <w:drawing>
          <wp:inline distT="0" distB="0" distL="0" distR="0" wp14:anchorId="3639A7AB" wp14:editId="5CE22D47">
            <wp:extent cx="822960" cy="914400"/>
            <wp:effectExtent l="0" t="0" r="0" b="0"/>
            <wp:docPr id="5"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 cy="914400"/>
                    </a:xfrm>
                    <a:prstGeom prst="rect">
                      <a:avLst/>
                    </a:prstGeom>
                    <a:noFill/>
                    <a:ln>
                      <a:noFill/>
                    </a:ln>
                  </pic:spPr>
                </pic:pic>
              </a:graphicData>
            </a:graphic>
          </wp:inline>
        </w:drawing>
      </w:r>
    </w:p>
    <w:p w:rsidR="00711051" w:rsidRPr="00711051" w:rsidRDefault="00711051" w:rsidP="00711051">
      <w:pPr>
        <w:autoSpaceDE w:val="0"/>
        <w:autoSpaceDN w:val="0"/>
        <w:adjustRightInd w:val="0"/>
        <w:spacing w:after="0" w:line="240" w:lineRule="auto"/>
        <w:ind w:right="1"/>
        <w:jc w:val="both"/>
        <w:rPr>
          <w:rFonts w:ascii="Times New Roman" w:eastAsia="Times New Roman" w:hAnsi="Times New Roman" w:cs="Times New Roman"/>
          <w:sz w:val="24"/>
          <w:szCs w:val="24"/>
          <w:lang w:eastAsia="bg-BG"/>
        </w:rPr>
      </w:pPr>
    </w:p>
    <w:p w:rsidR="00711051" w:rsidRPr="00711051" w:rsidRDefault="00711051" w:rsidP="00711051">
      <w:pPr>
        <w:numPr>
          <w:ilvl w:val="0"/>
          <w:numId w:val="8"/>
        </w:numPr>
        <w:spacing w:after="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Винаги съобщавайте на търговеца на дребно, от който сте купили дадена играчка, вносителя или производителя, за всякакви проблеми, свързани с нейната безопасност.</w:t>
      </w:r>
    </w:p>
    <w:p w:rsidR="00711051" w:rsidRPr="00711051" w:rsidRDefault="00711051" w:rsidP="00711051">
      <w:pPr>
        <w:tabs>
          <w:tab w:val="left" w:pos="567"/>
        </w:tabs>
        <w:spacing w:after="0" w:line="240" w:lineRule="auto"/>
        <w:ind w:right="1"/>
        <w:jc w:val="both"/>
        <w:rPr>
          <w:rFonts w:ascii="Times New Roman" w:eastAsia="Times New Roman" w:hAnsi="Times New Roman" w:cs="Times New Roman"/>
          <w:sz w:val="24"/>
          <w:szCs w:val="24"/>
          <w:lang w:eastAsia="bg-BG"/>
        </w:rPr>
      </w:pPr>
    </w:p>
    <w:p w:rsidR="00711051" w:rsidRPr="00711051" w:rsidRDefault="00711051" w:rsidP="00711051">
      <w:pPr>
        <w:shd w:val="clear" w:color="auto" w:fill="FFFFFF"/>
        <w:spacing w:after="0" w:line="240" w:lineRule="auto"/>
        <w:ind w:right="1"/>
        <w:rPr>
          <w:rFonts w:ascii="Times New Roman" w:eastAsia="Times New Roman" w:hAnsi="Times New Roman" w:cs="Times New Roman"/>
          <w:b/>
          <w:bCs/>
          <w:sz w:val="24"/>
          <w:szCs w:val="24"/>
          <w:lang w:eastAsia="bg-BG"/>
        </w:rPr>
      </w:pPr>
    </w:p>
    <w:p w:rsidR="00711051" w:rsidRPr="00711051" w:rsidRDefault="00711051" w:rsidP="00711051">
      <w:pPr>
        <w:shd w:val="clear" w:color="auto" w:fill="FFFFFF"/>
        <w:spacing w:after="0" w:line="240" w:lineRule="auto"/>
        <w:outlineLvl w:val="1"/>
        <w:rPr>
          <w:rFonts w:ascii="Times New Roman" w:eastAsia="Times New Roman" w:hAnsi="Times New Roman" w:cs="Times New Roman"/>
          <w:b/>
          <w:sz w:val="24"/>
          <w:szCs w:val="24"/>
          <w:lang w:eastAsia="bg-BG"/>
        </w:rPr>
      </w:pPr>
      <w:bookmarkStart w:id="6" w:name="_Toc196818240"/>
      <w:r w:rsidRPr="00711051">
        <w:rPr>
          <w:rFonts w:ascii="Times New Roman" w:eastAsia="Open Sans Bold" w:hAnsi="Times New Roman" w:cs="Times New Roman"/>
          <w:b/>
          <w:bCs/>
          <w:color w:val="1A62FF"/>
          <w:sz w:val="24"/>
          <w:szCs w:val="24"/>
          <w:highlight w:val="lightGray"/>
          <w:u w:val="single" w:color="1A62FF"/>
          <w:lang w:eastAsia="bg-BG"/>
        </w:rPr>
        <w:t>3.5. Радиосъоръжения. Изисквания за радиосъоръженията</w:t>
      </w:r>
      <w:r w:rsidRPr="00711051">
        <w:rPr>
          <w:rFonts w:ascii="Times New Roman" w:eastAsia="Times New Roman" w:hAnsi="Times New Roman" w:cs="Times New Roman"/>
          <w:b/>
          <w:sz w:val="24"/>
          <w:szCs w:val="24"/>
          <w:vertAlign w:val="superscript"/>
          <w:lang w:eastAsia="bg-BG"/>
        </w:rPr>
        <w:footnoteReference w:id="6"/>
      </w:r>
      <w:r w:rsidRPr="00711051">
        <w:rPr>
          <w:rFonts w:ascii="Times New Roman" w:eastAsia="Times New Roman" w:hAnsi="Times New Roman" w:cs="Times New Roman"/>
          <w:b/>
          <w:sz w:val="24"/>
          <w:szCs w:val="24"/>
          <w:lang w:eastAsia="bg-BG"/>
        </w:rPr>
        <w:t>.</w:t>
      </w:r>
      <w:bookmarkEnd w:id="6"/>
    </w:p>
    <w:p w:rsidR="00711051" w:rsidRPr="00711051" w:rsidRDefault="00711051" w:rsidP="00711051">
      <w:pPr>
        <w:shd w:val="clear" w:color="auto" w:fill="FFFFFF"/>
        <w:spacing w:after="0" w:line="240" w:lineRule="auto"/>
        <w:ind w:right="1"/>
        <w:rPr>
          <w:rFonts w:ascii="Times New Roman" w:eastAsia="Times New Roman" w:hAnsi="Times New Roman" w:cs="Times New Roman"/>
          <w:b/>
          <w:sz w:val="24"/>
          <w:szCs w:val="24"/>
          <w:lang w:eastAsia="bg-BG"/>
        </w:rPr>
      </w:pP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Интернет се превърна в неразделна част от живота на децата, представяйки много възможности за децата и младите хора да общуват, учат, да се социализират и играят, предоставяйки на децата нови идеи и по-разнообразни източници на информация, отваряйки възможности за гражданско участие на децата, чрез които да преуспяват, да бъдат креативни.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Пандемията от КОВИД-19 подчерта значението на съдържателната свързаност, чрез жизнено важните средства за достъп до базово образование, социални взаимодействия и достъп до услуги.</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Радиосъоръженията са продуктите, които осъществяват възможността за комуникация онлайн.</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Голям брой по вид радиосъоръжения се използват ежедневно не само от възрастни, но и от уязвими ползватели като децата.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В ежедневието си възрастните и децата използват различни видове радиосъоръжения, като: телефон (смартфон), смарт часовник, смарт гривна и др., Всички те са </w:t>
      </w:r>
      <w:r w:rsidRPr="00711051">
        <w:rPr>
          <w:rFonts w:ascii="Times New Roman" w:eastAsia="Times New Roman" w:hAnsi="Times New Roman" w:cs="Times New Roman"/>
          <w:i/>
          <w:iCs/>
          <w:sz w:val="24"/>
          <w:szCs w:val="24"/>
          <w:lang w:eastAsia="bg-BG"/>
        </w:rPr>
        <w:t>електронни, преносими устройства</w:t>
      </w:r>
      <w:r w:rsidRPr="00711051">
        <w:rPr>
          <w:rFonts w:ascii="Calibri" w:eastAsia="Times New Roman" w:hAnsi="Calibri" w:cs="Times New Roman"/>
          <w:i/>
          <w:iCs/>
          <w:lang w:eastAsia="bg-BG"/>
        </w:rPr>
        <w:t xml:space="preserve">, </w:t>
      </w:r>
      <w:r w:rsidRPr="00711051">
        <w:rPr>
          <w:rFonts w:ascii="Times New Roman" w:eastAsia="Times New Roman" w:hAnsi="Times New Roman" w:cs="Times New Roman"/>
          <w:sz w:val="24"/>
          <w:szCs w:val="24"/>
          <w:lang w:eastAsia="bg-BG"/>
        </w:rPr>
        <w:t xml:space="preserve">които предлагат различни функции. Обикновено свързаността между тях или други продукти се осъществява чрез Bluetooth или Wi-Fi и позволяват на потребителите да проверяват времето, да получават известия, да следят физическата си активност и здравословното си състояние, да осъществяват плащания, да използват гласови асистенти и много други.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При използването и избора на телефони, смарт часовници, смарт гривни, и др. е важно да се обърне внимание на някои от следните акценти:</w:t>
      </w: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bCs/>
          <w:sz w:val="24"/>
          <w:szCs w:val="24"/>
          <w:lang w:eastAsia="bg-BG"/>
        </w:rPr>
      </w:pPr>
      <w:r w:rsidRPr="00711051">
        <w:rPr>
          <w:rFonts w:ascii="Times New Roman" w:eastAsia="Times New Roman" w:hAnsi="Times New Roman" w:cs="Times New Roman"/>
          <w:spacing w:val="-2"/>
          <w:sz w:val="24"/>
          <w:szCs w:val="24"/>
          <w:lang w:eastAsia="bg-BG"/>
        </w:rPr>
        <w:t>Върху продуктите или върху опаковката трябва да бъде нанесена маркировка за съответствие „CE“, която трябва да е видима, четлива и незаличима;</w:t>
      </w: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sz w:val="24"/>
          <w:szCs w:val="24"/>
          <w:lang w:eastAsia="bg-BG"/>
        </w:rPr>
        <w:t xml:space="preserve">Производителят и вносителят трябва да са нанесли върху продуктите или върху опаковката своето име и регистрирано търговско наименование, или регистрирана търговска марка, и пощенски адрес, на който може да се осъществи връзка с тях; </w:t>
      </w: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spacing w:val="-2"/>
          <w:sz w:val="24"/>
          <w:szCs w:val="24"/>
          <w:lang w:eastAsia="bg-BG"/>
        </w:rPr>
      </w:pPr>
      <w:r w:rsidRPr="00711051">
        <w:rPr>
          <w:rFonts w:ascii="Times New Roman" w:eastAsia="Times New Roman" w:hAnsi="Times New Roman" w:cs="Times New Roman"/>
          <w:spacing w:val="-2"/>
          <w:sz w:val="24"/>
          <w:szCs w:val="24"/>
          <w:lang w:eastAsia="bg-BG"/>
        </w:rPr>
        <w:lastRenderedPageBreak/>
        <w:t xml:space="preserve">Продуктите трябва да се придружават от инструкции и информация за безопасност на български език и да включват информацията, необходима за използване на продукта по предназначение; </w:t>
      </w: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b/>
          <w:spacing w:val="-2"/>
          <w:sz w:val="24"/>
          <w:szCs w:val="24"/>
          <w:lang w:eastAsia="bg-BG"/>
        </w:rPr>
      </w:pPr>
      <w:r w:rsidRPr="00711051">
        <w:rPr>
          <w:rFonts w:ascii="Calibri" w:eastAsia="Times New Roman" w:hAnsi="Calibri" w:cs="Times New Roman"/>
          <w:noProof/>
          <w:lang w:eastAsia="bg-BG"/>
        </w:rPr>
        <w:drawing>
          <wp:anchor distT="0" distB="0" distL="114300" distR="114300" simplePos="0" relativeHeight="251660288" behindDoc="0" locked="0" layoutInCell="1" allowOverlap="1" wp14:anchorId="6BEFD4AE" wp14:editId="6ABF19E2">
            <wp:simplePos x="0" y="0"/>
            <wp:positionH relativeFrom="column">
              <wp:posOffset>2292985</wp:posOffset>
            </wp:positionH>
            <wp:positionV relativeFrom="paragraph">
              <wp:posOffset>187325</wp:posOffset>
            </wp:positionV>
            <wp:extent cx="299720" cy="306705"/>
            <wp:effectExtent l="0" t="0" r="0" b="0"/>
            <wp:wrapSquare wrapText="bothSides"/>
            <wp:docPr id="6"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720" cy="306705"/>
                    </a:xfrm>
                    <a:prstGeom prst="rect">
                      <a:avLst/>
                    </a:prstGeom>
                    <a:noFill/>
                  </pic:spPr>
                </pic:pic>
              </a:graphicData>
            </a:graphic>
            <wp14:sizeRelH relativeFrom="margin">
              <wp14:pctWidth>0</wp14:pctWidth>
            </wp14:sizeRelH>
            <wp14:sizeRelV relativeFrom="margin">
              <wp14:pctHeight>0</wp14:pctHeight>
            </wp14:sizeRelV>
          </wp:anchor>
        </w:drawing>
      </w:r>
      <w:r w:rsidRPr="00711051">
        <w:rPr>
          <w:rFonts w:ascii="Times New Roman" w:eastAsia="Times New Roman" w:hAnsi="Times New Roman" w:cs="Times New Roman"/>
          <w:sz w:val="24"/>
          <w:szCs w:val="24"/>
          <w:lang w:eastAsia="bg-BG"/>
        </w:rPr>
        <w:t>Върху продуктите трябва да има маркировка за излязлото от употреба електрическо и електронно оборудване .</w:t>
      </w:r>
    </w:p>
    <w:p w:rsidR="00711051" w:rsidRPr="00711051" w:rsidRDefault="00711051" w:rsidP="00711051">
      <w:pPr>
        <w:shd w:val="clear" w:color="auto" w:fill="FFFFFF"/>
        <w:spacing w:after="0" w:line="240" w:lineRule="auto"/>
        <w:ind w:right="1"/>
        <w:rPr>
          <w:rFonts w:ascii="Times New Roman" w:eastAsia="Times New Roman" w:hAnsi="Times New Roman" w:cs="Times New Roman"/>
          <w:sz w:val="24"/>
          <w:szCs w:val="24"/>
          <w:lang w:eastAsia="bg-BG"/>
        </w:rPr>
      </w:pPr>
    </w:p>
    <w:p w:rsidR="00711051" w:rsidRPr="00711051" w:rsidRDefault="00711051" w:rsidP="00711051">
      <w:pPr>
        <w:shd w:val="clear" w:color="auto" w:fill="FFFFFF"/>
        <w:spacing w:after="0" w:line="240" w:lineRule="auto"/>
        <w:ind w:right="1"/>
        <w:rPr>
          <w:rFonts w:ascii="Times New Roman" w:eastAsia="Times New Roman" w:hAnsi="Times New Roman" w:cs="Times New Roman"/>
          <w:b/>
          <w:spacing w:val="-2"/>
          <w:sz w:val="24"/>
          <w:szCs w:val="24"/>
          <w:shd w:val="clear" w:color="auto" w:fill="FFFFFF"/>
          <w:lang w:eastAsia="bg-BG"/>
        </w:rPr>
      </w:pPr>
    </w:p>
    <w:p w:rsidR="00711051" w:rsidRPr="00711051" w:rsidRDefault="00711051" w:rsidP="00711051">
      <w:pPr>
        <w:shd w:val="clear" w:color="auto" w:fill="FFFFFF"/>
        <w:spacing w:after="0" w:line="240" w:lineRule="auto"/>
        <w:ind w:right="1"/>
        <w:rPr>
          <w:rFonts w:ascii="Times New Roman" w:eastAsia="Times New Roman" w:hAnsi="Times New Roman" w:cs="Times New Roman"/>
          <w:b/>
          <w:spacing w:val="-2"/>
          <w:sz w:val="24"/>
          <w:szCs w:val="24"/>
          <w:shd w:val="clear" w:color="auto" w:fill="FFFFFF"/>
          <w:lang w:eastAsia="bg-BG"/>
        </w:rPr>
      </w:pPr>
      <w:r w:rsidRPr="00711051">
        <w:rPr>
          <w:rFonts w:ascii="Times New Roman" w:eastAsia="Times New Roman" w:hAnsi="Times New Roman" w:cs="Times New Roman"/>
          <w:b/>
          <w:spacing w:val="-2"/>
          <w:sz w:val="24"/>
          <w:szCs w:val="24"/>
          <w:shd w:val="clear" w:color="auto" w:fill="FFFFFF"/>
          <w:lang w:eastAsia="bg-BG"/>
        </w:rPr>
        <w:t>Препоръки към родители:</w:t>
      </w:r>
    </w:p>
    <w:p w:rsidR="00711051" w:rsidRPr="00711051" w:rsidRDefault="00711051" w:rsidP="00711051">
      <w:pPr>
        <w:shd w:val="clear" w:color="auto" w:fill="FFFFFF"/>
        <w:spacing w:after="0" w:line="240" w:lineRule="auto"/>
        <w:ind w:right="1"/>
        <w:rPr>
          <w:rFonts w:ascii="Times New Roman" w:eastAsia="Times New Roman" w:hAnsi="Times New Roman" w:cs="Times New Roman"/>
          <w:b/>
          <w:spacing w:val="-2"/>
          <w:sz w:val="24"/>
          <w:szCs w:val="24"/>
          <w:shd w:val="clear" w:color="auto" w:fill="FFFFFF"/>
          <w:lang w:eastAsia="bg-BG"/>
        </w:rPr>
      </w:pP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Не давайте на детето си смартфон, докато не се уверите, че е запознато с начина, по който функционира интернет, и с рисковете, които крие. Освен това трябва да сте уверени, че детето Ви се придържа към установените заедно правила за използване на мобилното устройство. Обяснете на детето, че обществените безжични мрежи не са защитени и през тях достъпът на трети лица до телефона е напълно възможен. Заедно с детето разучете как да ползвате интернет и смартфона разумно и отговорно и договорете определени правила. </w:t>
      </w:r>
    </w:p>
    <w:p w:rsidR="00711051" w:rsidRPr="00711051" w:rsidRDefault="00711051" w:rsidP="00711051">
      <w:pPr>
        <w:shd w:val="clear" w:color="auto" w:fill="FFFFFF"/>
        <w:spacing w:after="0" w:line="240" w:lineRule="auto"/>
        <w:ind w:right="1"/>
        <w:rPr>
          <w:rFonts w:ascii="Times New Roman" w:eastAsia="Times New Roman" w:hAnsi="Times New Roman" w:cs="Times New Roman"/>
          <w:sz w:val="24"/>
          <w:szCs w:val="24"/>
          <w:lang w:eastAsia="bg-BG"/>
        </w:rPr>
      </w:pPr>
    </w:p>
    <w:p w:rsidR="00711051" w:rsidRPr="00711051" w:rsidRDefault="00711051" w:rsidP="00711051">
      <w:pPr>
        <w:shd w:val="clear" w:color="auto" w:fill="FFFFFF"/>
        <w:spacing w:after="0" w:line="240" w:lineRule="auto"/>
        <w:outlineLvl w:val="1"/>
        <w:rPr>
          <w:rFonts w:ascii="Times New Roman" w:eastAsia="Times New Roman" w:hAnsi="Times New Roman" w:cs="Times New Roman"/>
          <w:b/>
          <w:sz w:val="24"/>
          <w:szCs w:val="24"/>
          <w:lang w:eastAsia="bg-BG"/>
        </w:rPr>
      </w:pPr>
      <w:bookmarkStart w:id="7" w:name="_Toc196818241"/>
      <w:r w:rsidRPr="00711051">
        <w:rPr>
          <w:rFonts w:ascii="Times New Roman" w:eastAsia="Open Sans Bold" w:hAnsi="Times New Roman" w:cs="Times New Roman"/>
          <w:b/>
          <w:bCs/>
          <w:color w:val="1A62FF"/>
          <w:sz w:val="24"/>
          <w:szCs w:val="24"/>
          <w:highlight w:val="lightGray"/>
          <w:u w:val="single" w:color="1A62FF"/>
          <w:lang w:eastAsia="bg-BG"/>
        </w:rPr>
        <w:t>3.6. Асансьори. Изисквания за асансьори</w:t>
      </w:r>
      <w:r w:rsidRPr="00711051">
        <w:rPr>
          <w:rFonts w:ascii="Times New Roman" w:eastAsia="Times New Roman" w:hAnsi="Times New Roman" w:cs="Times New Roman"/>
          <w:b/>
          <w:sz w:val="24"/>
          <w:szCs w:val="24"/>
          <w:vertAlign w:val="superscript"/>
          <w:lang w:eastAsia="bg-BG"/>
        </w:rPr>
        <w:footnoteReference w:id="7"/>
      </w:r>
      <w:r w:rsidRPr="00711051">
        <w:rPr>
          <w:rFonts w:ascii="Times New Roman" w:eastAsia="Times New Roman" w:hAnsi="Times New Roman" w:cs="Times New Roman"/>
          <w:b/>
          <w:sz w:val="24"/>
          <w:szCs w:val="24"/>
          <w:lang w:eastAsia="bg-BG"/>
        </w:rPr>
        <w:t>.</w:t>
      </w:r>
      <w:bookmarkEnd w:id="7"/>
    </w:p>
    <w:p w:rsidR="00711051" w:rsidRPr="00711051" w:rsidRDefault="00711051" w:rsidP="00711051">
      <w:pPr>
        <w:shd w:val="clear" w:color="auto" w:fill="FFFFFF"/>
        <w:spacing w:after="0" w:line="240" w:lineRule="auto"/>
        <w:ind w:right="1"/>
        <w:rPr>
          <w:rFonts w:ascii="Times New Roman" w:eastAsia="Times New Roman" w:hAnsi="Times New Roman" w:cs="Times New Roman"/>
          <w:b/>
          <w:sz w:val="24"/>
          <w:szCs w:val="24"/>
          <w:lang w:eastAsia="bg-BG"/>
        </w:rPr>
      </w:pP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Асансьорите са съоръжения, които обслужват постоянно сгради и са предназначени за превоз на: хора; на хора и товари.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 големите градове 90% от децата използват асансьори ежедневно, често без придружител. </w:t>
      </w:r>
      <w:r w:rsidRPr="00711051">
        <w:rPr>
          <w:rFonts w:ascii="Times New Roman" w:eastAsia="Times New Roman" w:hAnsi="Times New Roman" w:cs="Times New Roman"/>
          <w:b/>
          <w:sz w:val="24"/>
          <w:szCs w:val="24"/>
          <w:lang w:eastAsia="bg-BG"/>
        </w:rPr>
        <w:t>След 7-годишна възраст децата могат да се возят сами, но за съжаление се оказва, че те често не знаят как трябва да постъпят, ако съоръжението аварира</w:t>
      </w:r>
      <w:r w:rsidRPr="00711051">
        <w:rPr>
          <w:rFonts w:ascii="Times New Roman" w:eastAsia="Times New Roman" w:hAnsi="Times New Roman" w:cs="Times New Roman"/>
          <w:sz w:val="24"/>
          <w:szCs w:val="24"/>
          <w:lang w:eastAsia="bg-BG"/>
        </w:rPr>
        <w:t xml:space="preserve">. Много са и случаите, при които децата, водени от любопитство, могат да застрашат себе си и приятелите си. Асансьорите не са само удобно средство за придвижване, но и сложна машина, която може да носи потенциален риск.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При използването на асансьор е важно да се обърне внимание на някои от следните акценти:</w:t>
      </w: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spacing w:val="-2"/>
          <w:sz w:val="24"/>
          <w:szCs w:val="24"/>
          <w:lang w:eastAsia="bg-BG"/>
        </w:rPr>
      </w:pPr>
      <w:r w:rsidRPr="00711051">
        <w:rPr>
          <w:rFonts w:ascii="Times New Roman" w:eastAsia="Times New Roman" w:hAnsi="Times New Roman" w:cs="Times New Roman"/>
          <w:spacing w:val="-2"/>
          <w:sz w:val="24"/>
          <w:szCs w:val="24"/>
          <w:lang w:eastAsia="bg-BG"/>
        </w:rPr>
        <w:t>В кабините на асансьорите в жилищни сгради трябва да има стикер, поставен от органа за технически надзор, който е извършил последния технически преглед. върху стикера е записан регистрационният номер на органа, извършил техническия преглед, датата на извършване на прегледа и годината, през която трябва да се извърши следващият периодичен преглед. Стикерът трябва да е здраво закрепен, а обозначенията върху него трябва да са ясни, четливи и незаличими.</w:t>
      </w:r>
    </w:p>
    <w:p w:rsidR="00711051" w:rsidRPr="00711051" w:rsidRDefault="00711051" w:rsidP="00711051">
      <w:pPr>
        <w:ind w:right="1" w:firstLine="709"/>
        <w:jc w:val="both"/>
        <w:rPr>
          <w:rFonts w:ascii="Times New Roman" w:eastAsia="Times New Roman" w:hAnsi="Times New Roman" w:cs="Times New Roman"/>
          <w:i/>
          <w:sz w:val="24"/>
          <w:szCs w:val="24"/>
          <w:lang w:eastAsia="bg-BG"/>
        </w:rPr>
      </w:pPr>
      <w:r w:rsidRPr="00711051">
        <w:rPr>
          <w:rFonts w:ascii="Times New Roman" w:eastAsia="Times New Roman" w:hAnsi="Times New Roman" w:cs="Times New Roman"/>
          <w:i/>
          <w:sz w:val="24"/>
          <w:szCs w:val="24"/>
          <w:lang w:eastAsia="bg-BG"/>
        </w:rPr>
        <w:t xml:space="preserve">Пример: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tblGrid>
      <w:tr w:rsidR="00711051" w:rsidRPr="00711051" w:rsidTr="00693D09">
        <w:trPr>
          <w:trHeight w:val="1659"/>
        </w:trPr>
        <w:tc>
          <w:tcPr>
            <w:tcW w:w="4819" w:type="dxa"/>
            <w:shd w:val="clear" w:color="auto" w:fill="auto"/>
          </w:tcPr>
          <w:p w:rsidR="00711051" w:rsidRPr="00711051" w:rsidRDefault="00711051" w:rsidP="00711051">
            <w:pPr>
              <w:spacing w:after="0" w:line="240" w:lineRule="auto"/>
              <w:ind w:right="1"/>
              <w:jc w:val="center"/>
              <w:rPr>
                <w:rFonts w:ascii="Times New Roman" w:eastAsia="Calibri" w:hAnsi="Times New Roman" w:cs="Times New Roman"/>
                <w:b/>
                <w:i/>
                <w:sz w:val="24"/>
                <w:szCs w:val="24"/>
              </w:rPr>
            </w:pPr>
            <w:r w:rsidRPr="00711051">
              <w:rPr>
                <w:rFonts w:ascii="Times New Roman" w:eastAsia="Calibri" w:hAnsi="Times New Roman" w:cs="Times New Roman"/>
                <w:b/>
                <w:i/>
                <w:sz w:val="24"/>
                <w:szCs w:val="24"/>
              </w:rPr>
              <w:t>Рег. № 723</w:t>
            </w:r>
          </w:p>
          <w:p w:rsidR="00711051" w:rsidRPr="00711051" w:rsidRDefault="00711051" w:rsidP="00711051">
            <w:pPr>
              <w:spacing w:after="0" w:line="240" w:lineRule="auto"/>
              <w:ind w:right="1"/>
              <w:jc w:val="both"/>
              <w:rPr>
                <w:rFonts w:ascii="Times New Roman" w:eastAsia="Calibri" w:hAnsi="Times New Roman" w:cs="Times New Roman"/>
                <w:i/>
                <w:sz w:val="24"/>
                <w:szCs w:val="24"/>
              </w:rPr>
            </w:pPr>
          </w:p>
          <w:p w:rsidR="00711051" w:rsidRPr="00711051" w:rsidRDefault="00711051" w:rsidP="00711051">
            <w:pPr>
              <w:spacing w:after="0" w:line="240" w:lineRule="auto"/>
              <w:ind w:right="1"/>
              <w:jc w:val="both"/>
              <w:rPr>
                <w:rFonts w:ascii="Times New Roman" w:eastAsia="Calibri" w:hAnsi="Times New Roman" w:cs="Times New Roman"/>
                <w:i/>
                <w:sz w:val="24"/>
                <w:szCs w:val="24"/>
              </w:rPr>
            </w:pPr>
            <w:r w:rsidRPr="00711051">
              <w:rPr>
                <w:rFonts w:ascii="Times New Roman" w:eastAsia="Calibri" w:hAnsi="Times New Roman" w:cs="Times New Roman"/>
                <w:i/>
                <w:sz w:val="24"/>
                <w:szCs w:val="24"/>
              </w:rPr>
              <w:t>Дата на технически преглед: 17.05.2016 г.</w:t>
            </w:r>
          </w:p>
          <w:p w:rsidR="00711051" w:rsidRPr="00711051" w:rsidRDefault="00711051" w:rsidP="00711051">
            <w:pPr>
              <w:spacing w:after="0" w:line="240" w:lineRule="auto"/>
              <w:ind w:right="1"/>
              <w:jc w:val="both"/>
              <w:rPr>
                <w:rFonts w:ascii="Times New Roman" w:eastAsia="Calibri" w:hAnsi="Times New Roman" w:cs="Times New Roman"/>
                <w:i/>
                <w:sz w:val="24"/>
                <w:szCs w:val="24"/>
              </w:rPr>
            </w:pPr>
          </w:p>
          <w:p w:rsidR="00711051" w:rsidRPr="00711051" w:rsidRDefault="00711051" w:rsidP="00711051">
            <w:pPr>
              <w:spacing w:after="0" w:line="240" w:lineRule="auto"/>
              <w:ind w:right="1"/>
              <w:jc w:val="both"/>
              <w:rPr>
                <w:rFonts w:ascii="Times New Roman" w:eastAsia="Calibri" w:hAnsi="Times New Roman" w:cs="Times New Roman"/>
                <w:i/>
                <w:sz w:val="24"/>
                <w:szCs w:val="24"/>
              </w:rPr>
            </w:pPr>
            <w:r w:rsidRPr="00711051">
              <w:rPr>
                <w:rFonts w:ascii="Times New Roman" w:eastAsia="Calibri" w:hAnsi="Times New Roman" w:cs="Times New Roman"/>
                <w:i/>
                <w:sz w:val="24"/>
                <w:szCs w:val="24"/>
              </w:rPr>
              <w:t>Следващ технически преглед: 2017 г.</w:t>
            </w:r>
          </w:p>
        </w:tc>
      </w:tr>
    </w:tbl>
    <w:p w:rsidR="00711051" w:rsidRPr="00711051" w:rsidRDefault="00711051" w:rsidP="00711051">
      <w:pPr>
        <w:ind w:right="1"/>
        <w:jc w:val="both"/>
        <w:rPr>
          <w:rFonts w:ascii="Times New Roman" w:eastAsia="Times New Roman" w:hAnsi="Times New Roman" w:cs="Times New Roman"/>
          <w:sz w:val="24"/>
          <w:szCs w:val="24"/>
          <w:lang w:eastAsia="bg-BG"/>
        </w:rPr>
      </w:pP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b/>
          <w:spacing w:val="-2"/>
          <w:sz w:val="24"/>
          <w:szCs w:val="24"/>
          <w:lang w:eastAsia="bg-BG"/>
        </w:rPr>
      </w:pPr>
      <w:r w:rsidRPr="00711051">
        <w:rPr>
          <w:rFonts w:ascii="Times New Roman" w:eastAsia="Times New Roman" w:hAnsi="Times New Roman" w:cs="Times New Roman"/>
          <w:spacing w:val="-2"/>
          <w:sz w:val="24"/>
          <w:szCs w:val="24"/>
          <w:lang w:eastAsia="bg-BG"/>
        </w:rPr>
        <w:t xml:space="preserve">В кабините на асансьорите, в които пътуват хора, трябва да има здраво закрепена табела, която съдържа: указание за ползване на асансьора и за поведението на ползващите го при спиране/засядане и/или друг видим технически проблем; </w:t>
      </w:r>
      <w:r w:rsidRPr="00711051">
        <w:rPr>
          <w:rFonts w:ascii="Times New Roman" w:eastAsia="Times New Roman" w:hAnsi="Times New Roman" w:cs="Times New Roman"/>
          <w:spacing w:val="-2"/>
          <w:sz w:val="24"/>
          <w:szCs w:val="24"/>
          <w:lang w:eastAsia="bg-BG"/>
        </w:rPr>
        <w:lastRenderedPageBreak/>
        <w:t xml:space="preserve">забрана за самостоятелно ползване на асансьора от деца до 7-годишна възраст; </w:t>
      </w:r>
      <w:r w:rsidRPr="00711051">
        <w:rPr>
          <w:rFonts w:ascii="Times New Roman" w:eastAsia="Times New Roman" w:hAnsi="Times New Roman" w:cs="Times New Roman"/>
          <w:b/>
          <w:spacing w:val="-2"/>
          <w:sz w:val="24"/>
          <w:szCs w:val="24"/>
          <w:lang w:eastAsia="bg-BG"/>
        </w:rPr>
        <w:t>номера на телефона, на който да се съобщава за забелязани неизправности, аварии или за необходимост от освобождаване на пътници.</w:t>
      </w: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spacing w:val="-2"/>
          <w:sz w:val="24"/>
          <w:szCs w:val="24"/>
          <w:lang w:eastAsia="bg-BG"/>
        </w:rPr>
      </w:pPr>
      <w:r w:rsidRPr="00711051">
        <w:rPr>
          <w:rFonts w:ascii="Times New Roman" w:eastAsia="Times New Roman" w:hAnsi="Times New Roman" w:cs="Times New Roman"/>
          <w:spacing w:val="-2"/>
          <w:sz w:val="24"/>
          <w:szCs w:val="24"/>
          <w:lang w:eastAsia="bg-BG"/>
        </w:rPr>
        <w:t>Чести неизправности:</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движение на кабината при отворена шахтна или кабинна врата; </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счупено или липсващо стъкло на шахтната врата; </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отклонение от точността на спиране на кабината по-високо или по-ниско от 50 мм от нивото на етажната площадка; </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липса на осветление в кабината;</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затваряне на вратата рязко, а не плавно;</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силен и/или несвойствен шум при движение.</w:t>
      </w:r>
    </w:p>
    <w:p w:rsidR="00711051" w:rsidRPr="00711051" w:rsidRDefault="00711051" w:rsidP="00711051">
      <w:pPr>
        <w:tabs>
          <w:tab w:val="left" w:pos="993"/>
        </w:tabs>
        <w:spacing w:after="0"/>
        <w:ind w:left="1440" w:right="1"/>
        <w:contextualSpacing/>
        <w:jc w:val="both"/>
        <w:rPr>
          <w:rFonts w:ascii="Times New Roman" w:eastAsia="Times New Roman" w:hAnsi="Times New Roman" w:cs="Times New Roman"/>
          <w:sz w:val="24"/>
          <w:szCs w:val="24"/>
          <w:lang w:eastAsia="bg-BG"/>
        </w:rPr>
      </w:pP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spacing w:val="-2"/>
          <w:sz w:val="24"/>
          <w:szCs w:val="24"/>
          <w:lang w:eastAsia="bg-BG"/>
        </w:rPr>
      </w:pPr>
      <w:r w:rsidRPr="00711051">
        <w:rPr>
          <w:rFonts w:ascii="Times New Roman" w:eastAsia="Times New Roman" w:hAnsi="Times New Roman" w:cs="Times New Roman"/>
          <w:spacing w:val="-2"/>
          <w:sz w:val="24"/>
          <w:szCs w:val="24"/>
          <w:lang w:eastAsia="bg-BG"/>
        </w:rPr>
        <w:t>Причини за аварийно спиране /засядане/ на асансьора</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спиране на захранването;</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активиране на предпазните устройства;</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нерегламентирано натискане на бутон „СТОП“.</w:t>
      </w:r>
    </w:p>
    <w:p w:rsidR="00711051" w:rsidRPr="00711051" w:rsidRDefault="00711051" w:rsidP="00711051">
      <w:pPr>
        <w:tabs>
          <w:tab w:val="left" w:pos="993"/>
        </w:tabs>
        <w:spacing w:after="0" w:line="276" w:lineRule="auto"/>
        <w:ind w:left="1440" w:right="1"/>
        <w:contextualSpacing/>
        <w:jc w:val="both"/>
        <w:rPr>
          <w:rFonts w:ascii="Times New Roman" w:eastAsia="Times New Roman" w:hAnsi="Times New Roman" w:cs="Times New Roman"/>
          <w:sz w:val="24"/>
          <w:szCs w:val="24"/>
          <w:lang w:eastAsia="bg-BG"/>
        </w:rPr>
      </w:pP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spacing w:val="-2"/>
          <w:sz w:val="24"/>
          <w:szCs w:val="24"/>
          <w:lang w:eastAsia="bg-BG"/>
        </w:rPr>
      </w:pPr>
      <w:r w:rsidRPr="00711051">
        <w:rPr>
          <w:rFonts w:ascii="Times New Roman" w:eastAsia="Times New Roman" w:hAnsi="Times New Roman" w:cs="Times New Roman"/>
          <w:spacing w:val="-2"/>
          <w:sz w:val="24"/>
          <w:szCs w:val="24"/>
          <w:lang w:eastAsia="bg-BG"/>
        </w:rPr>
        <w:t>Действия при аварийно спиране/засядане</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Запазете спокойствие;</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Позвънете на посочения в кабината телефон на поддържащата фирма и дайте информация за адреса на който се намирате;</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Изчакайте идването на техниците от поддържащата фирма;</w:t>
      </w:r>
    </w:p>
    <w:p w:rsidR="00711051" w:rsidRPr="00711051" w:rsidRDefault="00711051" w:rsidP="00711051">
      <w:pPr>
        <w:numPr>
          <w:ilvl w:val="0"/>
          <w:numId w:val="4"/>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Спазвайте техните указания;</w:t>
      </w:r>
    </w:p>
    <w:p w:rsidR="00711051" w:rsidRPr="00711051" w:rsidRDefault="00711051" w:rsidP="00711051">
      <w:pPr>
        <w:numPr>
          <w:ilvl w:val="0"/>
          <w:numId w:val="5"/>
        </w:numPr>
        <w:tabs>
          <w:tab w:val="left" w:pos="993"/>
        </w:tabs>
        <w:spacing w:after="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 предприемайте действия за самоспасяване. Те застрашават живота ви!</w:t>
      </w:r>
    </w:p>
    <w:p w:rsidR="00711051" w:rsidRPr="00711051" w:rsidRDefault="00711051" w:rsidP="00711051">
      <w:pPr>
        <w:tabs>
          <w:tab w:val="left" w:pos="993"/>
        </w:tabs>
        <w:spacing w:after="0"/>
        <w:ind w:right="1"/>
        <w:jc w:val="both"/>
        <w:rPr>
          <w:rFonts w:ascii="Times New Roman" w:eastAsia="Times New Roman" w:hAnsi="Times New Roman" w:cs="Times New Roman"/>
          <w:sz w:val="24"/>
          <w:szCs w:val="24"/>
          <w:lang w:eastAsia="bg-BG"/>
        </w:rPr>
      </w:pPr>
      <w:r w:rsidRPr="00711051">
        <w:rPr>
          <w:rFonts w:ascii="Calibri" w:eastAsia="Times New Roman" w:hAnsi="Calibri" w:cs="Times New Roman"/>
          <w:noProof/>
          <w:lang w:eastAsia="bg-BG"/>
        </w:rPr>
        <mc:AlternateContent>
          <mc:Choice Requires="wps">
            <w:drawing>
              <wp:anchor distT="0" distB="0" distL="114300" distR="114300" simplePos="0" relativeHeight="251663360" behindDoc="0" locked="0" layoutInCell="1" allowOverlap="1" wp14:anchorId="4050EAEA" wp14:editId="7B50D77D">
                <wp:simplePos x="0" y="0"/>
                <wp:positionH relativeFrom="column">
                  <wp:posOffset>106045</wp:posOffset>
                </wp:positionH>
                <wp:positionV relativeFrom="paragraph">
                  <wp:posOffset>48260</wp:posOffset>
                </wp:positionV>
                <wp:extent cx="5875020" cy="54102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541020"/>
                        </a:xfrm>
                        <a:prstGeom prst="rect">
                          <a:avLst/>
                        </a:prstGeom>
                        <a:solidFill>
                          <a:srgbClr val="5B9BD5"/>
                        </a:solidFill>
                        <a:ln w="12700" cap="flat" cmpd="sng" algn="ctr">
                          <a:solidFill>
                            <a:srgbClr val="5B9BD5">
                              <a:shade val="50000"/>
                            </a:srgbClr>
                          </a:solidFill>
                          <a:prstDash val="solid"/>
                          <a:miter lim="800000"/>
                        </a:ln>
                        <a:effectLst/>
                      </wps:spPr>
                      <wps:txbx>
                        <w:txbxContent>
                          <w:p w:rsidR="00711051" w:rsidRPr="00B445DD" w:rsidRDefault="00711051" w:rsidP="00711051">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50EAEA" id="Rectangle 42" o:spid="_x0000_s1031" style="position:absolute;left:0;text-align:left;margin-left:8.35pt;margin-top:3.8pt;width:462.6pt;height:4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" fillcolor="#5b9bd5" strokecolor="#41719c" strokeweight="1pt">
                <v:path arrowok="t"/>
                <v:textbox>
                  <w:txbxContent>
                    <w:p w:rsidR="00711051" w:rsidRPr="00B445DD" w:rsidRDefault="00711051" w:rsidP="00711051">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v:textbox>
              </v:rect>
            </w:pict>
          </mc:Fallback>
        </mc:AlternateContent>
      </w:r>
      <w:r w:rsidRPr="00711051">
        <w:rPr>
          <w:rFonts w:ascii="Times New Roman" w:eastAsia="Times New Roman" w:hAnsi="Times New Roman" w:cs="Times New Roman"/>
          <w:sz w:val="24"/>
          <w:szCs w:val="24"/>
          <w:lang w:eastAsia="bg-BG"/>
        </w:rPr>
        <w:tab/>
      </w:r>
    </w:p>
    <w:p w:rsidR="00711051" w:rsidRPr="00711051" w:rsidRDefault="00711051" w:rsidP="00711051">
      <w:pPr>
        <w:tabs>
          <w:tab w:val="left" w:pos="993"/>
        </w:tabs>
        <w:spacing w:after="0"/>
        <w:ind w:right="1"/>
        <w:jc w:val="both"/>
        <w:rPr>
          <w:rFonts w:ascii="Times New Roman" w:eastAsia="Times New Roman" w:hAnsi="Times New Roman" w:cs="Times New Roman"/>
          <w:sz w:val="24"/>
          <w:szCs w:val="24"/>
          <w:lang w:eastAsia="bg-BG"/>
        </w:rPr>
      </w:pPr>
    </w:p>
    <w:p w:rsidR="00711051" w:rsidRPr="00711051" w:rsidRDefault="00711051" w:rsidP="00711051">
      <w:pPr>
        <w:tabs>
          <w:tab w:val="left" w:pos="993"/>
        </w:tabs>
        <w:spacing w:after="0"/>
        <w:ind w:right="1"/>
        <w:jc w:val="both"/>
        <w:rPr>
          <w:rFonts w:ascii="Times New Roman" w:eastAsia="Times New Roman" w:hAnsi="Times New Roman" w:cs="Times New Roman"/>
          <w:sz w:val="24"/>
          <w:szCs w:val="24"/>
          <w:lang w:eastAsia="bg-BG"/>
        </w:rPr>
      </w:pPr>
    </w:p>
    <w:p w:rsidR="00711051" w:rsidRPr="00711051" w:rsidRDefault="00711051" w:rsidP="00711051">
      <w:pPr>
        <w:tabs>
          <w:tab w:val="left" w:pos="993"/>
        </w:tabs>
        <w:spacing w:after="0"/>
        <w:ind w:left="708"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Важно е да знаем, че:</w:t>
      </w: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spacing w:val="-2"/>
          <w:sz w:val="24"/>
          <w:szCs w:val="24"/>
          <w:lang w:eastAsia="bg-BG"/>
        </w:rPr>
      </w:pPr>
      <w:r w:rsidRPr="00711051">
        <w:rPr>
          <w:rFonts w:ascii="Times New Roman" w:eastAsia="Times New Roman" w:hAnsi="Times New Roman" w:cs="Times New Roman"/>
          <w:spacing w:val="-2"/>
          <w:sz w:val="24"/>
          <w:szCs w:val="24"/>
          <w:lang w:eastAsia="bg-BG"/>
        </w:rPr>
        <w:t>За безопасност и комфорт при аварийно спиране на захранването, в кабината задължително трябва да има монтирано аварийно осветление;</w:t>
      </w: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spacing w:val="-2"/>
          <w:sz w:val="24"/>
          <w:szCs w:val="24"/>
          <w:lang w:eastAsia="bg-BG"/>
        </w:rPr>
      </w:pPr>
      <w:r w:rsidRPr="00711051">
        <w:rPr>
          <w:rFonts w:ascii="Times New Roman" w:eastAsia="Times New Roman" w:hAnsi="Times New Roman" w:cs="Times New Roman"/>
          <w:spacing w:val="-2"/>
          <w:sz w:val="24"/>
          <w:szCs w:val="24"/>
          <w:lang w:eastAsia="bg-BG"/>
        </w:rPr>
        <w:t>За бързото отстраняване на неизправността, в шахтата трябва да бъде инсталирано осветление /шахтно осветление/;</w:t>
      </w:r>
    </w:p>
    <w:p w:rsidR="00711051" w:rsidRPr="00711051" w:rsidRDefault="00711051" w:rsidP="00711051">
      <w:pPr>
        <w:numPr>
          <w:ilvl w:val="0"/>
          <w:numId w:val="9"/>
        </w:numPr>
        <w:spacing w:after="0" w:line="240" w:lineRule="auto"/>
        <w:ind w:right="1"/>
        <w:contextualSpacing/>
        <w:jc w:val="both"/>
        <w:rPr>
          <w:rFonts w:ascii="Times New Roman" w:eastAsia="Times New Roman" w:hAnsi="Times New Roman" w:cs="Times New Roman"/>
          <w:spacing w:val="-2"/>
          <w:sz w:val="24"/>
          <w:szCs w:val="24"/>
          <w:lang w:eastAsia="bg-BG"/>
        </w:rPr>
      </w:pPr>
      <w:r w:rsidRPr="00711051">
        <w:rPr>
          <w:rFonts w:ascii="Times New Roman" w:eastAsia="Times New Roman" w:hAnsi="Times New Roman" w:cs="Times New Roman"/>
          <w:spacing w:val="-2"/>
          <w:sz w:val="24"/>
          <w:szCs w:val="24"/>
          <w:lang w:eastAsia="bg-BG"/>
        </w:rPr>
        <w:t>За бърза и сигурна връзка с поддържащата фирма в кабината трябва да има монтирано разговорно устройство за двустранна връзка. Същото не може да послужи за разговори с други лица, извън поддържаща фирма.</w:t>
      </w:r>
    </w:p>
    <w:p w:rsidR="00711051" w:rsidRPr="00711051" w:rsidRDefault="00711051" w:rsidP="00711051">
      <w:pPr>
        <w:shd w:val="clear" w:color="auto" w:fill="FFFFFF"/>
        <w:spacing w:after="0" w:line="240" w:lineRule="auto"/>
        <w:ind w:right="1"/>
        <w:rPr>
          <w:rFonts w:ascii="Times New Roman" w:eastAsia="Times New Roman" w:hAnsi="Times New Roman" w:cs="Times New Roman"/>
          <w:b/>
          <w:bCs/>
          <w:sz w:val="24"/>
          <w:szCs w:val="24"/>
          <w:lang w:eastAsia="bg-BG"/>
        </w:rPr>
      </w:pPr>
    </w:p>
    <w:p w:rsidR="00711051" w:rsidRPr="00711051" w:rsidRDefault="00711051" w:rsidP="00711051">
      <w:pPr>
        <w:shd w:val="clear" w:color="auto" w:fill="FFFFFF"/>
        <w:spacing w:after="0" w:line="240" w:lineRule="auto"/>
        <w:outlineLvl w:val="1"/>
        <w:rPr>
          <w:rFonts w:ascii="Times New Roman" w:eastAsia="Times New Roman" w:hAnsi="Times New Roman" w:cs="Times New Roman"/>
          <w:b/>
          <w:bCs/>
          <w:sz w:val="24"/>
          <w:szCs w:val="24"/>
          <w:lang w:eastAsia="bg-BG"/>
        </w:rPr>
      </w:pPr>
      <w:bookmarkStart w:id="8" w:name="_Toc196818242"/>
      <w:r w:rsidRPr="00711051">
        <w:rPr>
          <w:rFonts w:ascii="Times New Roman" w:eastAsia="Open Sans Bold" w:hAnsi="Times New Roman" w:cs="Times New Roman"/>
          <w:b/>
          <w:bCs/>
          <w:color w:val="1A62FF"/>
          <w:sz w:val="24"/>
          <w:szCs w:val="24"/>
          <w:highlight w:val="lightGray"/>
          <w:u w:val="single" w:color="1A62FF"/>
          <w:lang w:eastAsia="bg-BG"/>
        </w:rPr>
        <w:t>3.7 Електрически уреди. Изисквания за електрическите уреди</w:t>
      </w:r>
      <w:r w:rsidRPr="00711051">
        <w:rPr>
          <w:rFonts w:ascii="Times New Roman" w:eastAsia="Times New Roman" w:hAnsi="Times New Roman" w:cs="Times New Roman"/>
          <w:b/>
          <w:bCs/>
          <w:sz w:val="24"/>
          <w:szCs w:val="24"/>
          <w:vertAlign w:val="superscript"/>
          <w:lang w:eastAsia="bg-BG"/>
        </w:rPr>
        <w:footnoteReference w:id="8"/>
      </w:r>
      <w:r w:rsidRPr="00711051">
        <w:rPr>
          <w:rFonts w:ascii="Times New Roman" w:eastAsia="Times New Roman" w:hAnsi="Times New Roman" w:cs="Times New Roman"/>
          <w:b/>
          <w:bCs/>
          <w:sz w:val="24"/>
          <w:szCs w:val="24"/>
          <w:lang w:eastAsia="bg-BG"/>
        </w:rPr>
        <w:t>.</w:t>
      </w:r>
      <w:bookmarkEnd w:id="8"/>
      <w:r w:rsidRPr="00711051">
        <w:rPr>
          <w:rFonts w:ascii="Times New Roman" w:eastAsia="Times New Roman" w:hAnsi="Times New Roman" w:cs="Times New Roman"/>
          <w:b/>
          <w:bCs/>
          <w:sz w:val="24"/>
          <w:szCs w:val="24"/>
          <w:lang w:eastAsia="bg-BG"/>
        </w:rPr>
        <w:t xml:space="preserve"> </w:t>
      </w:r>
    </w:p>
    <w:p w:rsidR="00711051" w:rsidRPr="00711051" w:rsidRDefault="00711051" w:rsidP="00711051">
      <w:pPr>
        <w:shd w:val="clear" w:color="auto" w:fill="FFFFFF"/>
        <w:spacing w:after="0" w:line="240" w:lineRule="auto"/>
        <w:ind w:right="1"/>
        <w:rPr>
          <w:rFonts w:ascii="Times New Roman" w:eastAsia="Times New Roman" w:hAnsi="Times New Roman" w:cs="Times New Roman"/>
          <w:b/>
          <w:bCs/>
          <w:sz w:val="24"/>
          <w:szCs w:val="24"/>
          <w:lang w:eastAsia="bg-BG"/>
        </w:rPr>
      </w:pP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Обучаването на децата на принципите за електрическа безопасност от ранна възраст е най-лесният начин да се гарантира тяхната безопасност срещу електрически уреди. Токовият удар е сравнително често срещан инцидент в ежедневието при децата поради тяхната хиперактивност и любознателност. Токов удар може да причини: изгаряне, вътрешно увреждане, сърдечен арест или травма, тежък шок и дори смърт. Най-често причината  се дължи на небрежността и субективността на възрастните, когато </w:t>
      </w:r>
      <w:r w:rsidRPr="00711051">
        <w:rPr>
          <w:rFonts w:ascii="Times New Roman" w:eastAsia="Times New Roman" w:hAnsi="Times New Roman" w:cs="Times New Roman"/>
          <w:sz w:val="24"/>
          <w:szCs w:val="24"/>
          <w:lang w:eastAsia="bg-BG"/>
        </w:rPr>
        <w:lastRenderedPageBreak/>
        <w:t xml:space="preserve">не следят децата отблизо, докато децата по своята същност обичат да откриват нови неща. </w:t>
      </w:r>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За възрастните е важно да се запознаят със следните полезни съвети при избор и използване на електрически уреди:</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Върху продукта производителят трябва да е нанесъл трайно маркировка за съответствие - СЕ. С нея той удостоверява, че е произвел продукта, съгласно европейските изисквания за безопасност. Ако естеството на даден продукт не позволява поставяне на СЕ маркировка, допустимо е тя да се нанесе върху опаковката и в придружаващите документи.</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Върху електрическия продукт е необходимо да са нанесени основните електрически характеристики, като напрежение, мощност или ток, честота на електрическата мрежа и др.</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Върху продукта или опаковката е необходимо да е обозначено името на производителя/вносителя и неговия адрес.</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Всеки електрически продукт трябва да се придружава от инструкция за употреба на български език, съставена от производителя.</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Преди използване е необходимо потребителите да се запознаят подробно с инструкцията за употреба и експлоатация на уреда.</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По време на експлоатация трябва да се спазват стриктно посочените в инструкцията изисквания.</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При почистване уредът да се изключи от електрическата мрежа и да се използва начин на почистване, посочен в инструкцията.</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При възникване на технически проблем, уредът да се изключи от електрическата мрежа и задължително да се ползват услугите на оторизиран сервиз.</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 цел избягване на инциденти, деца или хора от уязвими групи да ползват електрически уреди само под надзор на възрастни.</w:t>
      </w:r>
    </w:p>
    <w:p w:rsidR="00711051" w:rsidRPr="00711051" w:rsidRDefault="00711051" w:rsidP="00711051">
      <w:pPr>
        <w:numPr>
          <w:ilvl w:val="0"/>
          <w:numId w:val="10"/>
        </w:numPr>
        <w:spacing w:after="200"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 цел поемане на гаранционното обслужване за електрически уреди, нуждаещи се от специален монтаж и свързване към електрическата мрежа, монтажът и свързването да се извършва от правоспособни лица от посочените от производителя/вносителя в гаранционната карта сервизи.</w:t>
      </w:r>
    </w:p>
    <w:p w:rsidR="00711051" w:rsidRPr="00711051" w:rsidRDefault="00711051" w:rsidP="00711051">
      <w:pPr>
        <w:shd w:val="clear" w:color="auto" w:fill="FFFFFF"/>
        <w:spacing w:after="0" w:line="240" w:lineRule="auto"/>
        <w:ind w:right="1"/>
        <w:rPr>
          <w:rFonts w:ascii="Times New Roman" w:eastAsia="Times New Roman" w:hAnsi="Times New Roman" w:cs="Times New Roman"/>
          <w:b/>
          <w:bCs/>
          <w:sz w:val="24"/>
          <w:szCs w:val="24"/>
          <w:lang w:eastAsia="bg-BG"/>
        </w:rPr>
      </w:pPr>
    </w:p>
    <w:p w:rsidR="00711051" w:rsidRPr="00711051" w:rsidRDefault="00711051" w:rsidP="00711051">
      <w:pPr>
        <w:ind w:right="1"/>
        <w:jc w:val="both"/>
        <w:rPr>
          <w:rFonts w:ascii="Times New Roman" w:eastAsia="Times New Roman" w:hAnsi="Times New Roman" w:cs="Times New Roman"/>
          <w:b/>
          <w:sz w:val="24"/>
          <w:szCs w:val="24"/>
          <w:u w:val="single"/>
          <w:lang w:eastAsia="bg-BG"/>
        </w:rPr>
      </w:pPr>
      <w:r w:rsidRPr="00711051">
        <w:rPr>
          <w:rFonts w:ascii="Times New Roman" w:eastAsia="Times New Roman" w:hAnsi="Times New Roman" w:cs="Times New Roman"/>
          <w:b/>
          <w:sz w:val="24"/>
          <w:szCs w:val="24"/>
          <w:u w:val="single"/>
          <w:lang w:eastAsia="bg-BG"/>
        </w:rPr>
        <w:t>Общи препоръки към родителите:</w:t>
      </w:r>
    </w:p>
    <w:p w:rsidR="00711051" w:rsidRPr="00711051" w:rsidRDefault="00711051" w:rsidP="00711051">
      <w:pPr>
        <w:numPr>
          <w:ilvl w:val="0"/>
          <w:numId w:val="2"/>
        </w:numPr>
        <w:spacing w:after="20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Търсете пълната информация за закупуваните продукти за Вашите деца – характеристики, маркировки за съответствие с относимите стандарти, предупреждения и инструкции за безопасност на български език, начин на употреба, данни относно производителя и/или вносителя;</w:t>
      </w:r>
    </w:p>
    <w:p w:rsidR="00711051" w:rsidRPr="00711051" w:rsidRDefault="00711051" w:rsidP="00711051">
      <w:pPr>
        <w:numPr>
          <w:ilvl w:val="0"/>
          <w:numId w:val="2"/>
        </w:numPr>
        <w:spacing w:after="20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Винаги четете етикетите и предупрежденията преди да закупите стока, за да прецените дали е подходяща за възрастта на Вашето дете;</w:t>
      </w:r>
    </w:p>
    <w:p w:rsidR="00711051" w:rsidRPr="00711051" w:rsidRDefault="00711051" w:rsidP="00711051">
      <w:pPr>
        <w:numPr>
          <w:ilvl w:val="0"/>
          <w:numId w:val="2"/>
        </w:numPr>
        <w:spacing w:after="20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Проверявайте за наличието на видими дефекти при закупуване на стоки и по време на тяхното използване;</w:t>
      </w:r>
    </w:p>
    <w:p w:rsidR="00711051" w:rsidRPr="00711051" w:rsidRDefault="00711051" w:rsidP="00711051">
      <w:pPr>
        <w:numPr>
          <w:ilvl w:val="0"/>
          <w:numId w:val="2"/>
        </w:numPr>
        <w:spacing w:after="200" w:line="276"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Отнасяйте се с особено внимание към предоставяните услуги в детски центрове, площадки за забавления – батути, пързалки, трамплини и др., като стриктно спазвате указанията за употреба на различните съоръжения и инструкциите на персонала, за да бъдат децата в безопасност;</w:t>
      </w:r>
    </w:p>
    <w:p w:rsidR="00711051" w:rsidRPr="00711051" w:rsidRDefault="00711051" w:rsidP="00711051">
      <w:pPr>
        <w:numPr>
          <w:ilvl w:val="0"/>
          <w:numId w:val="2"/>
        </w:numPr>
        <w:spacing w:after="200" w:line="276" w:lineRule="auto"/>
        <w:ind w:right="1"/>
        <w:contextualSpacing/>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sz w:val="24"/>
          <w:szCs w:val="24"/>
          <w:lang w:eastAsia="bg-BG"/>
        </w:rPr>
        <w:t xml:space="preserve">Уверете се, че съоръженията на площадки за игра са подходящи за възрастта и теглото на Вашето дете. Прочетете внимателно правилата и указанията за </w:t>
      </w:r>
      <w:r w:rsidRPr="00711051">
        <w:rPr>
          <w:rFonts w:ascii="Times New Roman" w:eastAsia="Times New Roman" w:hAnsi="Times New Roman" w:cs="Times New Roman"/>
          <w:sz w:val="24"/>
          <w:szCs w:val="24"/>
          <w:lang w:eastAsia="bg-BG"/>
        </w:rPr>
        <w:lastRenderedPageBreak/>
        <w:t xml:space="preserve">безопасно използване на съоръженията на детските площадки за игра и ги обсъдете с Вашето дете. </w:t>
      </w:r>
    </w:p>
    <w:p w:rsidR="00711051" w:rsidRPr="00711051" w:rsidRDefault="00711051" w:rsidP="00711051">
      <w:pPr>
        <w:ind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 xml:space="preserve">Линк към портала SAFETY GATE на Европейската комисия за опасни нехранителни стоки ТУК: </w:t>
      </w:r>
    </w:p>
    <w:p w:rsidR="00711051" w:rsidRPr="00711051" w:rsidRDefault="00711051" w:rsidP="00711051">
      <w:pPr>
        <w:ind w:left="708" w:right="1" w:firstLine="708"/>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sz w:val="24"/>
          <w:szCs w:val="24"/>
          <w:lang w:eastAsia="bg-BG"/>
        </w:rPr>
        <w:t>https://ec.europa.eu/safety-gate-alerts/screen/search?resetSearch=true</w:t>
      </w:r>
    </w:p>
    <w:p w:rsidR="00711051" w:rsidRPr="00711051" w:rsidRDefault="00711051" w:rsidP="00711051">
      <w:pPr>
        <w:ind w:right="1"/>
        <w:jc w:val="both"/>
        <w:outlineLvl w:val="3"/>
        <w:rPr>
          <w:rFonts w:ascii="Times New Roman" w:eastAsia="Open Sans Bold" w:hAnsi="Times New Roman" w:cs="Times New Roman"/>
          <w:b/>
          <w:bCs/>
          <w:color w:val="1A62FF"/>
          <w:sz w:val="24"/>
          <w:szCs w:val="24"/>
          <w:highlight w:val="lightGray"/>
          <w:u w:val="single" w:color="1A62FF"/>
          <w:lang w:eastAsia="bg-BG"/>
        </w:rPr>
      </w:pPr>
    </w:p>
    <w:p w:rsidR="00711051" w:rsidRPr="00711051" w:rsidRDefault="00711051" w:rsidP="00711051">
      <w:pPr>
        <w:spacing w:before="120" w:after="120" w:line="336" w:lineRule="auto"/>
        <w:ind w:right="1"/>
        <w:rPr>
          <w:rFonts w:ascii="Times New Roman" w:eastAsia="Times New Roman" w:hAnsi="Times New Roman" w:cs="Times New Roman"/>
          <w:sz w:val="24"/>
          <w:szCs w:val="24"/>
          <w:lang w:eastAsia="bg-BG"/>
        </w:rPr>
      </w:pPr>
    </w:p>
    <w:p w:rsidR="00711051" w:rsidRPr="00711051" w:rsidRDefault="00711051" w:rsidP="00711051">
      <w:pPr>
        <w:spacing w:before="120" w:after="120"/>
        <w:ind w:right="1"/>
        <w:jc w:val="center"/>
        <w:rPr>
          <w:rFonts w:ascii="Times New Roman" w:eastAsia="Times New Roman" w:hAnsi="Times New Roman" w:cs="Times New Roman"/>
          <w:sz w:val="24"/>
          <w:szCs w:val="24"/>
          <w:lang w:eastAsia="bg-BG"/>
        </w:rPr>
      </w:pPr>
      <w:r w:rsidRPr="00711051">
        <w:rPr>
          <w:rFonts w:ascii="Times New Roman" w:eastAsia="Times New Roman" w:hAnsi="Times New Roman" w:cs="Times New Roman"/>
          <w:noProof/>
          <w:sz w:val="24"/>
          <w:szCs w:val="24"/>
          <w:lang w:eastAsia="bg-BG"/>
        </w:rPr>
        <w:drawing>
          <wp:inline distT="0" distB="0" distL="0" distR="0" wp14:anchorId="6767D75C" wp14:editId="15BDD57E">
            <wp:extent cx="5753100" cy="1737360"/>
            <wp:effectExtent l="0" t="0" r="0" b="0"/>
            <wp:docPr id="7" name="Picture 19"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rsidR="00711051" w:rsidRPr="00711051" w:rsidRDefault="00711051" w:rsidP="00711051">
      <w:pPr>
        <w:spacing w:before="120" w:after="120" w:line="336" w:lineRule="auto"/>
        <w:ind w:left="-567" w:right="1"/>
        <w:rPr>
          <w:rFonts w:ascii="Times New Roman" w:eastAsia="Times New Roman" w:hAnsi="Times New Roman" w:cs="Times New Roman"/>
          <w:sz w:val="24"/>
          <w:szCs w:val="24"/>
          <w:lang w:eastAsia="bg-BG"/>
        </w:rPr>
      </w:pPr>
      <w:r w:rsidRPr="00711051">
        <w:rPr>
          <w:rFonts w:ascii="Times New Roman" w:eastAsia="Rubik Light" w:hAnsi="Times New Roman" w:cs="Times New Roman"/>
          <w:color w:val="000000"/>
          <w:sz w:val="24"/>
          <w:szCs w:val="24"/>
          <w:lang w:eastAsia="bg-BG"/>
        </w:rPr>
        <w:t xml:space="preserve"> </w:t>
      </w:r>
    </w:p>
    <w:p w:rsidR="00711051" w:rsidRPr="00711051" w:rsidRDefault="00711051" w:rsidP="00711051">
      <w:pPr>
        <w:spacing w:before="120" w:after="120" w:line="336" w:lineRule="auto"/>
        <w:outlineLvl w:val="0"/>
        <w:rPr>
          <w:rFonts w:ascii="Times New Roman" w:eastAsia="Times New Roman" w:hAnsi="Times New Roman" w:cs="Times New Roman"/>
          <w:sz w:val="24"/>
          <w:szCs w:val="24"/>
          <w:lang w:eastAsia="bg-BG"/>
        </w:rPr>
      </w:pPr>
      <w:bookmarkStart w:id="9" w:name="_Toc196818243"/>
      <w:r w:rsidRPr="00711051">
        <w:rPr>
          <w:rFonts w:ascii="Times New Roman" w:eastAsia="Old Standard" w:hAnsi="Times New Roman" w:cs="Times New Roman"/>
          <w:color w:val="8A663F"/>
          <w:sz w:val="24"/>
          <w:szCs w:val="24"/>
          <w:lang w:eastAsia="bg-BG"/>
        </w:rPr>
        <w:t>РАЗДЕЛ 4</w:t>
      </w:r>
      <w:bookmarkEnd w:id="9"/>
      <w:r w:rsidRPr="00711051">
        <w:rPr>
          <w:rFonts w:ascii="Times New Roman" w:eastAsia="Old Standard" w:hAnsi="Times New Roman" w:cs="Times New Roman"/>
          <w:color w:val="8A663F"/>
          <w:sz w:val="24"/>
          <w:szCs w:val="24"/>
          <w:lang w:eastAsia="bg-BG"/>
        </w:rPr>
        <w:t xml:space="preserve"> </w:t>
      </w:r>
    </w:p>
    <w:p w:rsidR="00711051" w:rsidRPr="00711051" w:rsidRDefault="00711051" w:rsidP="00711051">
      <w:pPr>
        <w:spacing w:before="120" w:after="120" w:line="336" w:lineRule="auto"/>
        <w:jc w:val="both"/>
        <w:outlineLvl w:val="0"/>
        <w:rPr>
          <w:rFonts w:ascii="Times New Roman" w:eastAsia="Times New Roman" w:hAnsi="Times New Roman" w:cs="Times New Roman"/>
          <w:b/>
          <w:sz w:val="24"/>
          <w:szCs w:val="24"/>
          <w:lang w:eastAsia="bg-BG"/>
        </w:rPr>
      </w:pPr>
      <w:bookmarkStart w:id="10" w:name="_Toc196818244"/>
      <w:r w:rsidRPr="00711051">
        <w:rPr>
          <w:rFonts w:ascii="Times New Roman" w:eastAsia="Times New Roman" w:hAnsi="Times New Roman" w:cs="Times New Roman"/>
          <w:b/>
          <w:sz w:val="24"/>
          <w:szCs w:val="24"/>
          <w:lang w:eastAsia="bg-BG"/>
        </w:rPr>
        <w:t>ПРЕВЕНЦИЯ НА УПОТРЕБАТА НА АЛКОХОЛ, НИКОТИН И ПРОИЗВОДНИ ИЗДЕЛИЯ, ПСИХОАКТИВНИ ВЕЩЕСТВА (ПАВ) И ОТГОВОРНОСТТА НА РОДИТЕЛИТЕ</w:t>
      </w:r>
      <w:bookmarkEnd w:id="10"/>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711051" w:rsidRPr="00711051" w:rsidTr="00693D09">
        <w:tc>
          <w:tcPr>
            <w:tcW w:w="10118" w:type="dxa"/>
            <w:shd w:val="clear" w:color="auto" w:fill="FFFBF5"/>
            <w:tcMar>
              <w:top w:w="180" w:type="dxa"/>
              <w:left w:w="180" w:type="dxa"/>
              <w:bottom w:w="180" w:type="dxa"/>
              <w:right w:w="180" w:type="dxa"/>
            </w:tcMar>
          </w:tcPr>
          <w:p w:rsidR="00711051" w:rsidRPr="00711051" w:rsidRDefault="00711051" w:rsidP="00711051">
            <w:pPr>
              <w:ind w:left="567"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Какво трябва да се знае?</w:t>
            </w:r>
          </w:p>
          <w:p w:rsidR="00711051" w:rsidRPr="00711051" w:rsidRDefault="00711051" w:rsidP="00711051">
            <w:pPr>
              <w:ind w:left="567"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На какво да се акцентира?</w:t>
            </w:r>
          </w:p>
          <w:p w:rsidR="00711051" w:rsidRPr="00711051" w:rsidRDefault="00711051" w:rsidP="00711051">
            <w:pPr>
              <w:spacing w:before="120" w:after="120" w:line="336" w:lineRule="auto"/>
              <w:ind w:left="-38" w:right="1" w:firstLine="3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sz w:val="24"/>
                <w:szCs w:val="24"/>
                <w:lang w:eastAsia="bg-BG"/>
              </w:rPr>
              <w:t xml:space="preserve">         Общи рискове за децата</w:t>
            </w:r>
          </w:p>
        </w:tc>
      </w:tr>
    </w:tbl>
    <w:p w:rsidR="00711051" w:rsidRPr="00711051" w:rsidRDefault="00711051" w:rsidP="00711051">
      <w:pPr>
        <w:spacing w:before="120" w:after="120" w:line="336" w:lineRule="auto"/>
        <w:ind w:right="1"/>
        <w:rPr>
          <w:rFonts w:ascii="Times New Roman" w:eastAsia="Times New Roman" w:hAnsi="Times New Roman" w:cs="Times New Roman"/>
          <w:sz w:val="24"/>
          <w:szCs w:val="24"/>
          <w:lang w:eastAsia="bg-BG"/>
        </w:rPr>
      </w:pPr>
      <w:r w:rsidRPr="00711051">
        <w:rPr>
          <w:rFonts w:ascii="Times New Roman" w:eastAsia="Rubik Light" w:hAnsi="Times New Roman" w:cs="Times New Roman"/>
          <w:color w:val="000000"/>
          <w:sz w:val="24"/>
          <w:szCs w:val="24"/>
          <w:lang w:eastAsia="bg-BG"/>
        </w:rPr>
        <w:t xml:space="preserve"> </w:t>
      </w:r>
    </w:p>
    <w:p w:rsidR="00711051" w:rsidRPr="00711051" w:rsidRDefault="00711051" w:rsidP="00711051">
      <w:pPr>
        <w:spacing w:before="120" w:after="120" w:line="336" w:lineRule="auto"/>
        <w:outlineLvl w:val="1"/>
        <w:rPr>
          <w:rFonts w:ascii="Times New Roman" w:eastAsia="Open Sans Bold" w:hAnsi="Times New Roman" w:cs="Times New Roman"/>
          <w:b/>
          <w:bCs/>
          <w:color w:val="1A62FF"/>
          <w:sz w:val="24"/>
          <w:szCs w:val="24"/>
          <w:u w:val="single" w:color="1A62FF"/>
          <w:lang w:eastAsia="bg-BG"/>
        </w:rPr>
      </w:pPr>
      <w:bookmarkStart w:id="11" w:name="_Toc196818245"/>
      <w:r w:rsidRPr="00711051">
        <w:rPr>
          <w:rFonts w:ascii="Times New Roman" w:eastAsia="Open Sans Bold" w:hAnsi="Times New Roman" w:cs="Times New Roman"/>
          <w:b/>
          <w:bCs/>
          <w:color w:val="1A62FF"/>
          <w:sz w:val="24"/>
          <w:szCs w:val="24"/>
          <w:highlight w:val="lightGray"/>
          <w:u w:val="single" w:color="1A62FF"/>
          <w:lang w:eastAsia="bg-BG"/>
        </w:rPr>
        <w:t>4.1. Алкохол и вредите от употребата му</w:t>
      </w:r>
      <w:bookmarkEnd w:id="11"/>
    </w:p>
    <w:p w:rsidR="00711051" w:rsidRPr="00711051" w:rsidRDefault="00711051" w:rsidP="00711051">
      <w:pPr>
        <w:tabs>
          <w:tab w:val="left" w:pos="993"/>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Консумацията на алкохол е една от проявите на нездравословен начин на живот и е проблем за повечето страни в света, включително и за България. Употребата на алкохол е част от бита, традициите, обичаите и културата на българския народ. Българинът и до днес продължава да произвежда домашно вино и ракия. Освен че предизвиква зависимост, употребата на алкохол причинява различни психични, неврологични, соматични заболявания, води до нетрудоспособност и преждевременна смърт. Консумацията на алкохол може да варира от пълно въздържание или малка по количество консумация, до прекомерна такава, а проблемите, произтичащи от алкохола - в диапазона от липса на такива до значителни или сериозни.</w:t>
      </w:r>
    </w:p>
    <w:p w:rsidR="00711051" w:rsidRPr="00711051" w:rsidRDefault="00711051" w:rsidP="00711051">
      <w:pPr>
        <w:autoSpaceDE w:val="0"/>
        <w:autoSpaceDN w:val="0"/>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Алкохолът (</w:t>
      </w:r>
      <w:r w:rsidRPr="00711051">
        <w:rPr>
          <w:rFonts w:ascii="Times New Roman" w:eastAsia="Times New Roman" w:hAnsi="Times New Roman" w:cs="Times New Roman"/>
          <w:i/>
          <w:iCs/>
          <w:sz w:val="24"/>
          <w:szCs w:val="24"/>
          <w:lang w:eastAsia="bg-BG"/>
        </w:rPr>
        <w:t>етилов алкохол, етанол</w:t>
      </w:r>
      <w:r w:rsidRPr="00711051">
        <w:rPr>
          <w:rFonts w:ascii="Times New Roman" w:eastAsia="Times New Roman" w:hAnsi="Times New Roman" w:cs="Times New Roman"/>
          <w:sz w:val="24"/>
          <w:szCs w:val="24"/>
          <w:lang w:eastAsia="bg-BG"/>
        </w:rPr>
        <w:t xml:space="preserve">) е продукт, получен по естествен път в процеса на ферментация на захарите, които се съдържат най-често в плодовете, под </w:t>
      </w:r>
      <w:r w:rsidRPr="00711051">
        <w:rPr>
          <w:rFonts w:ascii="Times New Roman" w:eastAsia="Times New Roman" w:hAnsi="Times New Roman" w:cs="Times New Roman"/>
          <w:sz w:val="24"/>
          <w:szCs w:val="24"/>
          <w:lang w:eastAsia="bg-BG"/>
        </w:rPr>
        <w:lastRenderedPageBreak/>
        <w:t xml:space="preserve">въздействието на различни видове дрожди. Първият открит и употребяван от човека алкохол е етанолът. </w:t>
      </w:r>
    </w:p>
    <w:p w:rsidR="00711051" w:rsidRPr="00711051" w:rsidRDefault="00711051" w:rsidP="00711051">
      <w:pPr>
        <w:spacing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Арабското название </w:t>
      </w:r>
      <w:r w:rsidRPr="00711051">
        <w:rPr>
          <w:rFonts w:ascii="Times New Roman" w:eastAsia="Times New Roman" w:hAnsi="Times New Roman" w:cs="Times New Roman"/>
          <w:i/>
          <w:iCs/>
          <w:sz w:val="24"/>
          <w:szCs w:val="24"/>
          <w:lang w:eastAsia="bg-BG"/>
        </w:rPr>
        <w:t xml:space="preserve">„ал-кохл“ </w:t>
      </w:r>
      <w:r w:rsidRPr="00711051">
        <w:rPr>
          <w:rFonts w:ascii="Times New Roman" w:eastAsia="Times New Roman" w:hAnsi="Times New Roman" w:cs="Times New Roman"/>
          <w:sz w:val="24"/>
          <w:szCs w:val="24"/>
          <w:lang w:eastAsia="bg-BG"/>
        </w:rPr>
        <w:t xml:space="preserve">в превод означава </w:t>
      </w:r>
      <w:r w:rsidRPr="00711051">
        <w:rPr>
          <w:rFonts w:ascii="Times New Roman" w:eastAsia="Times New Roman" w:hAnsi="Times New Roman" w:cs="Times New Roman"/>
          <w:i/>
          <w:iCs/>
          <w:sz w:val="24"/>
          <w:szCs w:val="24"/>
          <w:lang w:eastAsia="bg-BG"/>
        </w:rPr>
        <w:t>„дух на виното“</w:t>
      </w:r>
      <w:r w:rsidRPr="00711051">
        <w:rPr>
          <w:rFonts w:ascii="Times New Roman" w:eastAsia="Times New Roman" w:hAnsi="Times New Roman" w:cs="Times New Roman"/>
          <w:sz w:val="24"/>
          <w:szCs w:val="24"/>
          <w:lang w:eastAsia="bg-BG"/>
        </w:rPr>
        <w:t xml:space="preserve">. Латинският превод на това название – </w:t>
      </w:r>
      <w:r w:rsidRPr="00711051">
        <w:rPr>
          <w:rFonts w:ascii="Times New Roman" w:eastAsia="Times New Roman" w:hAnsi="Times New Roman" w:cs="Times New Roman"/>
          <w:i/>
          <w:iCs/>
          <w:sz w:val="24"/>
          <w:szCs w:val="24"/>
          <w:lang w:eastAsia="bg-BG"/>
        </w:rPr>
        <w:t xml:space="preserve">„Spiritus vini“ </w:t>
      </w:r>
      <w:r w:rsidRPr="00711051">
        <w:rPr>
          <w:rFonts w:ascii="Times New Roman" w:eastAsia="Times New Roman" w:hAnsi="Times New Roman" w:cs="Times New Roman"/>
          <w:sz w:val="24"/>
          <w:szCs w:val="24"/>
          <w:lang w:eastAsia="bg-BG"/>
        </w:rPr>
        <w:t>се пренася в Европа през Средновековието и остава като синоним на етанола до днес. През Средновековието се развива технологията за дестилация, което позволява производството на алкохол с по-високо процентно съдържание (като водка и уиски). През ХІХ век производството на алкохолни напитки става широко разпространено. В момента производството на бира, вино и спиртни напитки е световна индустрия.</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Съдържанието на алкохол в различните напитки се измерва в градуси, които показват обемната концентрация на алкохола в %. Концентрираните (т.н. спиртни) напитки могат да се получават само чрез дестилация на алкохола във ферментирали вече продукти. По този начин може да се получи алкохол с произволно силен градус, но обикновено концентратите съдържат 40 до 50% алкохол. Алкохолните напитки се състоят основно от овкусена и ароматизирана вода и етилов алкохол (етанол). Те се произвеждат чрез ферментацията на плодове, зеленчуци или зърнени растения. Бирата и сайдерът обикновено съдържат една част алкохол към 20 части вода, като някои разновидности могат да бъдат двойно по-силни от други. Виното обикновено е от два до четири пъти по-силно от бирата, а напитките от дестилиран алкохол като уиски, водка, ром и джин, обикновено съдържат по равни части вода и алкохол. Обемното съдържание на алкохол в бирата обикновено е от 3 до 5%, във виното – около 12%, в спиртните напитки – най-често 40%. В домашно приготвените напитки алкохолът може да бъде и с по-високо съдържание. Освен етиловият алкохол съществува и друг вид – метилов алкохол (метанол), който се произвежда от дървесина. Той се използва за различни цели – като антифриз, гориво, разтворител и др. Понякога в домашно приготвените спиртни напитки се съдържа метанол в количество над максимално допустимото, което ги прави опасни. Етиловият алкохол (етанол) е вещество, което се абсорбира бързо от стомаха и тънките черва в кръвния поток и действа като депресант на централната нервна система на човека - забавя реакциите и функциите на тялото, притъпява усещанията. За разлика от повечето други психоактивни вещества, алкохолът има хранителна стойност и доставя на организма калории. Един грам алкохол доставя седем калории, почти двойно повече от калориите, които доставя един грам въглехидрат. Около половин литър бира може да достави на организма калориите, които се съдържат в шест филии хляб. Бирата осигурява на тялото много малко протеини и витамини, а дестилираният алкохол не осигурява никакви.</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Алкохолите са голяма група от органични компоненти, произлизащи от въглеводородите и съдържат една или повече хидроксилни (-OH) групи. Етанолът/етиловият алкохол (C</w:t>
      </w:r>
      <w:r w:rsidRPr="00711051">
        <w:rPr>
          <w:rFonts w:ascii="Times New Roman" w:eastAsia="Times New Roman" w:hAnsi="Times New Roman" w:cs="Times New Roman"/>
          <w:sz w:val="24"/>
          <w:szCs w:val="24"/>
          <w:vertAlign w:val="subscript"/>
          <w:lang w:eastAsia="bg-BG"/>
        </w:rPr>
        <w:t>2</w:t>
      </w:r>
      <w:r w:rsidRPr="00711051">
        <w:rPr>
          <w:rFonts w:ascii="Times New Roman" w:eastAsia="Times New Roman" w:hAnsi="Times New Roman" w:cs="Times New Roman"/>
          <w:sz w:val="24"/>
          <w:szCs w:val="24"/>
          <w:lang w:eastAsia="bg-BG"/>
        </w:rPr>
        <w:t>H</w:t>
      </w:r>
      <w:r w:rsidRPr="00711051">
        <w:rPr>
          <w:rFonts w:ascii="Times New Roman" w:eastAsia="Times New Roman" w:hAnsi="Times New Roman" w:cs="Times New Roman"/>
          <w:sz w:val="24"/>
          <w:szCs w:val="24"/>
          <w:vertAlign w:val="subscript"/>
          <w:lang w:eastAsia="bg-BG"/>
        </w:rPr>
        <w:t>5</w:t>
      </w:r>
      <w:r w:rsidRPr="00711051">
        <w:rPr>
          <w:rFonts w:ascii="Times New Roman" w:eastAsia="Times New Roman" w:hAnsi="Times New Roman" w:cs="Times New Roman"/>
          <w:sz w:val="24"/>
          <w:szCs w:val="24"/>
          <w:lang w:eastAsia="bg-BG"/>
        </w:rPr>
        <w:t xml:space="preserve">OH) е клас от тези компоненти и е основна психоактивна съставка на алкохолната напитка. Етанолът е тъждествен на понятието абсолютен алкохол (АА) в случаите, когато не съдържа повече от 1% маса вода.  Съществува разлика между понятията „милилитър” и „грам”, отразяващи продаваното количество течност от производители и търговци, и понятията „милилитър алкохол“ или „грам алкохол“, в които се отразяват наличното количество АА. Един милилитър алкохол съдържа 0.789 грама алкохол, а един грам алкохол това е АА, т.е. етанол/етилов алкохол, който не съдържа повече от 1% вода. В ежедневната практика се използва и понятието „градус“, което отразява процента АА в алкохолната напитка (100 мл от 40-градусова алкохолна напитка съдържа 40 мл/32 грама АА). Освен етанола, спиртните напитки, особено домашно произведените, съдържат и други алкохоли (метанол, пропанол, бутанол и др.), опасни за здравето. Ефектът от консумацията на алкохол се </w:t>
      </w:r>
      <w:r w:rsidRPr="00711051">
        <w:rPr>
          <w:rFonts w:ascii="Times New Roman" w:eastAsia="Times New Roman" w:hAnsi="Times New Roman" w:cs="Times New Roman"/>
          <w:sz w:val="24"/>
          <w:szCs w:val="24"/>
          <w:lang w:eastAsia="bg-BG"/>
        </w:rPr>
        <w:lastRenderedPageBreak/>
        <w:t>влияе от множество фактори: тегло; възраст; пол; консумация на храни преди, по време и след приема на алкохол; прием на лекарства, индивидуален метаболизъм; кръвна група; расова принадлежност и други.</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Алкохолът е психоактивно вещество, чиято употреба се смята за по-приемлива от обществото, в сравнение с употребата на други наркотици. В много части на света, консумацията на алкохолни напитки е традиция при организирането на различни социални събирания. В същото време, заради своите ефекти и рискове, алкохолът не е нито по-безопасно, нито „по-слабо” вещество. Консумацията на алкохол води до риск от неблагоприятни здравни и социални последици, свързани с неговите упойващи; токсични и създаващи зависимост свойства. Прекомерната консумацията на алкохол често пъти води до рисково сексуално поведение, престъпни прояви, насилие и социални проблеми. Злоупотребата с алкохол причинява различни психични, неврологични и соматични заболявания.</w:t>
      </w:r>
    </w:p>
    <w:p w:rsidR="00711051" w:rsidRPr="00711051" w:rsidRDefault="00711051" w:rsidP="00711051">
      <w:pPr>
        <w:autoSpaceDE w:val="0"/>
        <w:autoSpaceDN w:val="0"/>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 xml:space="preserve"> Според консумираното количество алкохол през седмицата, употребата му се класифицира като:</w:t>
      </w:r>
    </w:p>
    <w:p w:rsidR="00711051" w:rsidRPr="00711051" w:rsidRDefault="00711051" w:rsidP="00711051">
      <w:pPr>
        <w:numPr>
          <w:ilvl w:val="0"/>
          <w:numId w:val="11"/>
        </w:numPr>
        <w:autoSpaceDE w:val="0"/>
        <w:autoSpaceDN w:val="0"/>
        <w:spacing w:after="0" w:line="240" w:lineRule="auto"/>
        <w:ind w:left="1276" w:right="1" w:hanging="425"/>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умеренорискова (до 280 мл АА при мъжете и 140 мл АА при жените);</w:t>
      </w:r>
    </w:p>
    <w:p w:rsidR="00711051" w:rsidRPr="00711051" w:rsidRDefault="00711051" w:rsidP="00711051">
      <w:pPr>
        <w:numPr>
          <w:ilvl w:val="0"/>
          <w:numId w:val="11"/>
        </w:numPr>
        <w:autoSpaceDE w:val="0"/>
        <w:autoSpaceDN w:val="0"/>
        <w:spacing w:after="0" w:line="240" w:lineRule="auto"/>
        <w:ind w:left="1276" w:right="1" w:hanging="425"/>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рискова (280-350 мл АА при мъжете и 140-210 мл АА при жените);</w:t>
      </w:r>
    </w:p>
    <w:p w:rsidR="00711051" w:rsidRPr="00711051" w:rsidRDefault="00711051" w:rsidP="00711051">
      <w:pPr>
        <w:numPr>
          <w:ilvl w:val="0"/>
          <w:numId w:val="11"/>
        </w:numPr>
        <w:autoSpaceDE w:val="0"/>
        <w:autoSpaceDN w:val="0"/>
        <w:spacing w:after="0" w:line="240" w:lineRule="auto"/>
        <w:ind w:left="1276" w:right="1" w:hanging="425"/>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високорискова (над 350 мл АА при мъжете и 210 мл АА при жените).</w:t>
      </w:r>
    </w:p>
    <w:p w:rsidR="00711051" w:rsidRPr="00711051" w:rsidRDefault="00711051" w:rsidP="00711051">
      <w:pPr>
        <w:autoSpaceDE w:val="0"/>
        <w:autoSpaceDN w:val="0"/>
        <w:spacing w:after="0" w:line="240" w:lineRule="auto"/>
        <w:ind w:left="1276" w:right="1"/>
        <w:jc w:val="both"/>
        <w:rPr>
          <w:rFonts w:ascii="Times New Roman" w:eastAsia="Times New Roman" w:hAnsi="Times New Roman" w:cs="Times New Roman"/>
          <w:sz w:val="24"/>
          <w:szCs w:val="24"/>
          <w:lang w:eastAsia="bg-BG"/>
        </w:rPr>
      </w:pP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Най-често употребяваните алкохолни напитки съдържат приблизително следното количество АА:</w:t>
      </w:r>
    </w:p>
    <w:p w:rsidR="00711051" w:rsidRPr="00711051" w:rsidRDefault="00711051" w:rsidP="00711051">
      <w:pPr>
        <w:numPr>
          <w:ilvl w:val="0"/>
          <w:numId w:val="12"/>
        </w:numPr>
        <w:autoSpaceDE w:val="0"/>
        <w:autoSpaceDN w:val="0"/>
        <w:spacing w:after="0" w:line="240" w:lineRule="auto"/>
        <w:ind w:left="1418" w:right="1" w:hanging="425"/>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50 мл концентрат ~ 40 ° (ракия, водка, уиски и др.), съдържа – 20 мл АА;</w:t>
      </w:r>
    </w:p>
    <w:p w:rsidR="00711051" w:rsidRPr="00711051" w:rsidRDefault="00711051" w:rsidP="00711051">
      <w:pPr>
        <w:numPr>
          <w:ilvl w:val="0"/>
          <w:numId w:val="12"/>
        </w:numPr>
        <w:autoSpaceDE w:val="0"/>
        <w:autoSpaceDN w:val="0"/>
        <w:spacing w:after="0" w:line="240" w:lineRule="auto"/>
        <w:ind w:left="1418" w:right="1" w:hanging="425"/>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100 мл червено/бяло вино ~ 11 °, съдържа – 11 мл АА;</w:t>
      </w:r>
    </w:p>
    <w:p w:rsidR="00711051" w:rsidRPr="00711051" w:rsidRDefault="00711051" w:rsidP="00711051">
      <w:pPr>
        <w:numPr>
          <w:ilvl w:val="0"/>
          <w:numId w:val="12"/>
        </w:numPr>
        <w:autoSpaceDE w:val="0"/>
        <w:autoSpaceDN w:val="0"/>
        <w:spacing w:after="0" w:line="240" w:lineRule="auto"/>
        <w:ind w:left="1418" w:right="1" w:hanging="425"/>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500 мл бира ~ 5 °, съдържа – 25 мл АА.</w:t>
      </w:r>
    </w:p>
    <w:p w:rsidR="00711051" w:rsidRPr="00711051" w:rsidRDefault="00711051" w:rsidP="00711051">
      <w:pPr>
        <w:autoSpaceDE w:val="0"/>
        <w:autoSpaceDN w:val="0"/>
        <w:spacing w:after="0" w:line="240" w:lineRule="auto"/>
        <w:ind w:left="1418" w:right="1"/>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iCs/>
          <w:sz w:val="24"/>
          <w:szCs w:val="24"/>
          <w:lang w:eastAsia="bg-BG"/>
        </w:rPr>
        <w:t xml:space="preserve">   </w:t>
      </w:r>
      <w:r w:rsidRPr="00711051">
        <w:rPr>
          <w:rFonts w:ascii="Times New Roman" w:eastAsia="Times New Roman" w:hAnsi="Times New Roman" w:cs="Times New Roman"/>
          <w:iCs/>
          <w:sz w:val="24"/>
          <w:szCs w:val="24"/>
          <w:lang w:eastAsia="bg-BG"/>
        </w:rPr>
        <w:tab/>
        <w:t>За</w:t>
      </w:r>
      <w:r w:rsidRPr="00711051">
        <w:rPr>
          <w:rFonts w:ascii="Times New Roman" w:eastAsia="Times New Roman" w:hAnsi="Times New Roman" w:cs="Times New Roman"/>
          <w:i/>
          <w:iCs/>
          <w:sz w:val="24"/>
          <w:szCs w:val="24"/>
          <w:lang w:eastAsia="bg-BG"/>
        </w:rPr>
        <w:t xml:space="preserve"> редовна употреба на алкохол </w:t>
      </w:r>
      <w:r w:rsidRPr="00711051">
        <w:rPr>
          <w:rFonts w:ascii="Times New Roman" w:eastAsia="Times New Roman" w:hAnsi="Times New Roman" w:cs="Times New Roman"/>
          <w:sz w:val="24"/>
          <w:szCs w:val="24"/>
          <w:lang w:eastAsia="bg-BG"/>
        </w:rPr>
        <w:t xml:space="preserve">се приема тази, която се случва един или повече пъти седмично, независимо от дозата, а за </w:t>
      </w:r>
      <w:r w:rsidRPr="00711051">
        <w:rPr>
          <w:rFonts w:ascii="Times New Roman" w:eastAsia="Times New Roman" w:hAnsi="Times New Roman" w:cs="Times New Roman"/>
          <w:i/>
          <w:sz w:val="24"/>
          <w:szCs w:val="24"/>
          <w:lang w:eastAsia="bg-BG"/>
        </w:rPr>
        <w:t>епизодична</w:t>
      </w:r>
      <w:r w:rsidRPr="00711051">
        <w:rPr>
          <w:rFonts w:ascii="Times New Roman" w:eastAsia="Times New Roman" w:hAnsi="Times New Roman" w:cs="Times New Roman"/>
          <w:sz w:val="24"/>
          <w:szCs w:val="24"/>
          <w:lang w:eastAsia="bg-BG"/>
        </w:rPr>
        <w:t xml:space="preserve"> – по-рядко от един път седмично. </w:t>
      </w:r>
      <w:r w:rsidRPr="00711051">
        <w:rPr>
          <w:rFonts w:ascii="Times New Roman" w:eastAsia="Times New Roman" w:hAnsi="Times New Roman" w:cs="Times New Roman"/>
          <w:i/>
          <w:iCs/>
          <w:sz w:val="24"/>
          <w:szCs w:val="24"/>
          <w:lang w:eastAsia="bg-BG"/>
        </w:rPr>
        <w:t xml:space="preserve">Рисковата алкохолна консумация </w:t>
      </w:r>
      <w:r w:rsidRPr="00711051">
        <w:rPr>
          <w:rFonts w:ascii="Times New Roman" w:eastAsia="Times New Roman" w:hAnsi="Times New Roman" w:cs="Times New Roman"/>
          <w:sz w:val="24"/>
          <w:szCs w:val="24"/>
          <w:lang w:eastAsia="bg-BG"/>
        </w:rPr>
        <w:t xml:space="preserve">се дефинира като равнище на консумация или модел на пиене, което би довело до увреждания, в случай че се съхранят навиците на пиене. В детска възраст (до 18-годишна възраст) алкохолът е изключително вреден. Не трябва да се пренебрегва фактът, че с лекота изпиваното от децата количество от 0.5 л бира (стандартна бутилка с бира) съдържа 20 грама АА, а 50 мл от 40-градусов концентрат съдържа 16 грама АА. След консумирането на 10 грама АА, съдържанието на алкохол в кръвта (САК) достига своя пик след 30-45 минути. Скоростното изпиване на повече питиета води до по-високо САК, тъй като черният дроб се отличава с относителна устойчивост на скорост на метаболизма. </w:t>
      </w:r>
    </w:p>
    <w:p w:rsidR="00711051" w:rsidRPr="00711051" w:rsidRDefault="00711051" w:rsidP="00711051">
      <w:pPr>
        <w:autoSpaceDE w:val="0"/>
        <w:autoSpaceDN w:val="0"/>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Факторите, които оказват влияние върху употребата на алкохол, са многобройни, променливи и твърде често взаимно зависими. Едни от най-често срещаните причини за употребата на алкохол от децата са: любопитството; родителската употреба и позитивно отношение към алкохола; конфликтите в семейството; натиска от връстници, които консумират алкохол; семейното и социално-икономическото състояние; цената и достъпността на алкохола; въздействието от страна на медиите; рекламата и други.</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 xml:space="preserve">Съществено влияние оказват генетичните фактори и факторите на околната среда. Семейството, приятелите и обществото определят степента на изложеност на стрес и алкохол. Склонността да се развие загуба на контрол над консумацията на алкохол е генетична предразположеност и генетичните фактори допринасят до приблизителна </w:t>
      </w:r>
      <w:r w:rsidRPr="00711051">
        <w:rPr>
          <w:rFonts w:ascii="Times New Roman" w:eastAsia="Times New Roman" w:hAnsi="Times New Roman" w:cs="Times New Roman"/>
          <w:sz w:val="24"/>
          <w:szCs w:val="24"/>
          <w:lang w:eastAsia="bg-BG"/>
        </w:rPr>
        <w:lastRenderedPageBreak/>
        <w:t>оценка за 60% от риска за заболяване. Рискът от алкохолна зависимост се увеличава с увеличаване консумацията на алкохол. Индивидуалните реакции към алкохола са различни и зависят от множество фактори, като: възраст; пол; физическо състояние; количество храна, консумирана преди употребата на алкохол; бързината на консумация на алкохол; расова или етническа принадлежност; употребата на наркотици или лекарства (особено по лекарско предписание) и др.</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Най-честите заболявания, причинени от употребата на алкохол са:</w:t>
      </w:r>
    </w:p>
    <w:p w:rsidR="00711051" w:rsidRPr="00711051" w:rsidRDefault="00711051" w:rsidP="00711051">
      <w:pPr>
        <w:numPr>
          <w:ilvl w:val="0"/>
          <w:numId w:val="12"/>
        </w:numPr>
        <w:spacing w:after="0"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Цироза на черния дроб</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Системната консумация на алкохол е водеща причина за развитие на цироза на черния дроб –  болест, която е сред десетте основни причини за смъртност в много страни, включително и в България. Дори умерената, но системна употреба на алкохолни напитки, повишава многократно риска от развитие на цироза на черния дроб. </w:t>
      </w:r>
    </w:p>
    <w:p w:rsidR="00711051" w:rsidRPr="00711051" w:rsidRDefault="00711051" w:rsidP="00711051">
      <w:pPr>
        <w:numPr>
          <w:ilvl w:val="0"/>
          <w:numId w:val="12"/>
        </w:numPr>
        <w:spacing w:after="0"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Артериална хипертония</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Повишената консумация на алкохол е една от трите установени причини за артериална хипертония (заедно със затлъстяването и високата консумация на сол). Редица епидемиологични проучвания доказват, че след три и повече алкохолни приема дневно, честотата на артериалната хипертония нараства значително.</w:t>
      </w:r>
    </w:p>
    <w:p w:rsidR="00711051" w:rsidRPr="00711051" w:rsidRDefault="00711051" w:rsidP="00711051">
      <w:pPr>
        <w:numPr>
          <w:ilvl w:val="0"/>
          <w:numId w:val="12"/>
        </w:numPr>
        <w:spacing w:after="0"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Мозъчно-съдова болест</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Интензивните консуматори на алкохолни напитки имат четирикратно увеличен риск от развитие на мозъчен инсулт. Системната консумация на алкохол предразполага към тромбоемболични инциденти у млади хора и е рисков фактор за мозъчна аневризма.</w:t>
      </w:r>
    </w:p>
    <w:p w:rsidR="00711051" w:rsidRPr="00711051" w:rsidRDefault="00711051" w:rsidP="00711051">
      <w:pPr>
        <w:numPr>
          <w:ilvl w:val="0"/>
          <w:numId w:val="12"/>
        </w:numPr>
        <w:spacing w:after="0"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Злокачествени новообразувания</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Алкохолната консумация повишава риска от рак на устната кухина, фаринкса и ларинкса, на гърдата, на дебелото черво и на черния дроб. Рискът от рак на горната част на храносмилателната система нараства в съответствие с количеството алкохолна консумация над 25 грама за ден (около 250 мл вино или 500 мл бира). 100 грама алкохол на ден (приблизително 1 л вино или 2 л бира) повишават от 4 до 6 пъти риска от рак в сравнение с хората, които не консумират алкохол или го консумират умерено.</w:t>
      </w:r>
    </w:p>
    <w:p w:rsidR="00711051" w:rsidRPr="00711051" w:rsidRDefault="00711051" w:rsidP="00711051">
      <w:pPr>
        <w:spacing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sz w:val="24"/>
          <w:szCs w:val="24"/>
          <w:lang w:eastAsia="bg-BG"/>
        </w:rPr>
        <w:tab/>
        <w:t xml:space="preserve">Употребата на алкохол е своеобразна форма на социално поведение. В пияно състояние морално-етичните задръжки значително се понижават, което причинява проблеми, свързани с учението/работата, нанасяне на неумишлени телесни повреди, оказване на физическо насилие, извършване на тежки престъпления, пътнотранспортни произшествия и др. Консумацията на алкохол, дори и в малки количества, може да предизвика редица фатални грешки, свързани с прибързани и несъобразени с пътната обстановка действия. Освен забавените реакции и некоординираните движения, занижената концентрация и възможност за възприемане на действителността, поведението на водачите се характеризира и с надценяване на собствените и на превозното средство възможности, безкритичност и агресивност. Рискът от възникване на ПТП нараства едновременно с количеството на алкохол в кръвта: 7-10 пъти –  при концентрация 0.5-1 на хиляда; 30 пъти –  при концентрация 1-1.5 на хиляда; а над 1.5 на хиляда – се увеличава до 130 пъти. </w:t>
      </w:r>
    </w:p>
    <w:p w:rsidR="00711051" w:rsidRPr="00711051" w:rsidRDefault="00711051" w:rsidP="00711051">
      <w:pPr>
        <w:jc w:val="both"/>
        <w:outlineLvl w:val="1"/>
        <w:rPr>
          <w:rFonts w:ascii="Times New Roman" w:eastAsia="Times New Roman" w:hAnsi="Times New Roman" w:cs="Times New Roman"/>
          <w:b/>
          <w:sz w:val="24"/>
          <w:szCs w:val="24"/>
          <w:lang w:eastAsia="bg-BG"/>
        </w:rPr>
      </w:pPr>
      <w:bookmarkStart w:id="12" w:name="_Toc196818246"/>
      <w:r w:rsidRPr="00711051">
        <w:rPr>
          <w:rFonts w:ascii="Times New Roman" w:eastAsia="Open Sans Bold" w:hAnsi="Times New Roman" w:cs="Times New Roman"/>
          <w:b/>
          <w:bCs/>
          <w:color w:val="1A62FF"/>
          <w:sz w:val="24"/>
          <w:szCs w:val="24"/>
          <w:highlight w:val="lightGray"/>
          <w:u w:val="single" w:color="1A62FF"/>
          <w:lang w:eastAsia="bg-BG"/>
        </w:rPr>
        <w:t>4.2. Изисквания за никотин и производни изделия</w:t>
      </w:r>
      <w:r w:rsidRPr="00711051">
        <w:rPr>
          <w:rFonts w:ascii="Times New Roman" w:eastAsia="Times New Roman" w:hAnsi="Times New Roman" w:cs="Times New Roman"/>
          <w:b/>
          <w:sz w:val="24"/>
          <w:szCs w:val="24"/>
          <w:vertAlign w:val="superscript"/>
          <w:lang w:eastAsia="bg-BG"/>
        </w:rPr>
        <w:footnoteReference w:id="9"/>
      </w:r>
      <w:bookmarkEnd w:id="12"/>
      <w:r w:rsidRPr="00711051">
        <w:rPr>
          <w:rFonts w:ascii="Times New Roman" w:eastAsia="Times New Roman" w:hAnsi="Times New Roman" w:cs="Times New Roman"/>
          <w:b/>
          <w:bCs/>
          <w:sz w:val="24"/>
          <w:szCs w:val="24"/>
          <w:lang w:eastAsia="bg-BG"/>
        </w:rPr>
        <w:t xml:space="preserve"> </w:t>
      </w:r>
    </w:p>
    <w:p w:rsidR="00711051" w:rsidRPr="00711051" w:rsidRDefault="00711051" w:rsidP="00711051">
      <w:pPr>
        <w:shd w:val="clear" w:color="auto" w:fill="FFFFFF"/>
        <w:spacing w:after="0" w:line="240" w:lineRule="auto"/>
        <w:ind w:right="1" w:firstLine="567"/>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Забранени са предлагането и продажбата на:</w:t>
      </w:r>
    </w:p>
    <w:p w:rsidR="00711051" w:rsidRPr="00711051" w:rsidRDefault="00711051" w:rsidP="00711051">
      <w:pPr>
        <w:shd w:val="clear" w:color="auto" w:fill="FFFFFF"/>
        <w:spacing w:after="0" w:line="240" w:lineRule="auto"/>
        <w:ind w:right="1" w:firstLine="567"/>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lastRenderedPageBreak/>
        <w:t>- тютюневи и свързани с тях изделия на територията на детски ясли и градини, училища, общежития за ученици, лечебни и здравни заведения и на техните прилежащи площи;</w:t>
      </w:r>
    </w:p>
    <w:p w:rsidR="00711051" w:rsidRPr="00711051" w:rsidRDefault="00711051" w:rsidP="00711051">
      <w:pPr>
        <w:shd w:val="clear" w:color="auto" w:fill="FFFFFF"/>
        <w:spacing w:after="0" w:line="240" w:lineRule="auto"/>
        <w:ind w:right="1" w:firstLine="567"/>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алкохолни напитки, тютюневи и свързани с тях изделия и изделия, различни от тютюневи изделия, бездимни тютюневи изделия, нови тютюневи изделия и нагреваеми тютюневи изделия, на деца под 18 г.</w:t>
      </w:r>
    </w:p>
    <w:p w:rsidR="00711051" w:rsidRPr="00711051" w:rsidRDefault="00711051" w:rsidP="00711051">
      <w:pPr>
        <w:shd w:val="clear" w:color="auto" w:fill="FFFFFF"/>
        <w:spacing w:after="0" w:line="240" w:lineRule="auto"/>
        <w:ind w:right="1" w:firstLine="567"/>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Забранена е употребата от деца на алкохолни напитки, тютюневи и свързани с тях изделия, изделия, различни от тютюневи изделия, бездимни тютюневи изделия, нови тютюневи изделия, нагреваеми тютюневи изделия и диазотен оксид (райски газ).</w:t>
      </w:r>
    </w:p>
    <w:p w:rsidR="00711051" w:rsidRPr="00711051" w:rsidRDefault="00711051" w:rsidP="00711051">
      <w:pPr>
        <w:shd w:val="clear" w:color="auto" w:fill="FFFFFF"/>
        <w:spacing w:after="0" w:line="240" w:lineRule="auto"/>
        <w:ind w:right="1" w:firstLine="567"/>
        <w:jc w:val="both"/>
        <w:rPr>
          <w:rFonts w:ascii="Times New Roman" w:eastAsia="Times New Roman" w:hAnsi="Times New Roman" w:cs="Times New Roman"/>
          <w:sz w:val="24"/>
          <w:szCs w:val="24"/>
          <w:lang w:eastAsia="bg-BG"/>
        </w:rPr>
      </w:pPr>
    </w:p>
    <w:p w:rsidR="00711051" w:rsidRPr="00711051" w:rsidRDefault="00711051" w:rsidP="00711051">
      <w:pPr>
        <w:shd w:val="clear" w:color="auto" w:fill="FCF9EA"/>
        <w:autoSpaceDE w:val="0"/>
        <w:autoSpaceDN w:val="0"/>
        <w:adjustRightInd w:val="0"/>
        <w:spacing w:after="0" w:line="240" w:lineRule="auto"/>
        <w:ind w:right="1"/>
        <w:jc w:val="both"/>
        <w:rPr>
          <w:rFonts w:ascii="Times New Roman" w:eastAsia="Calibri" w:hAnsi="Times New Roman" w:cs="Times New Roman"/>
          <w:sz w:val="24"/>
          <w:szCs w:val="24"/>
        </w:rPr>
      </w:pPr>
      <w:r w:rsidRPr="00711051">
        <w:rPr>
          <w:rFonts w:ascii="Times New Roman" w:eastAsia="Calibri" w:hAnsi="Times New Roman" w:cs="Times New Roman"/>
          <w:b/>
          <w:bCs/>
          <w:sz w:val="24"/>
          <w:szCs w:val="24"/>
        </w:rPr>
        <w:t>ИЗДЕЛИЯ, ЧРЕЗ КОИТО СЕ УПОТРЕБЯВА ТЮТЮН И НИКОТИН</w:t>
      </w:r>
    </w:p>
    <w:p w:rsidR="00711051" w:rsidRPr="00711051" w:rsidRDefault="00711051" w:rsidP="00711051">
      <w:pPr>
        <w:shd w:val="clear" w:color="auto" w:fill="FCF9EA"/>
        <w:autoSpaceDE w:val="0"/>
        <w:autoSpaceDN w:val="0"/>
        <w:adjustRightInd w:val="0"/>
        <w:spacing w:after="0" w:line="240" w:lineRule="auto"/>
        <w:ind w:right="1"/>
        <w:jc w:val="both"/>
        <w:rPr>
          <w:rFonts w:ascii="Times New Roman" w:eastAsia="Calibri" w:hAnsi="Times New Roman" w:cs="Times New Roman"/>
          <w:sz w:val="24"/>
          <w:szCs w:val="24"/>
        </w:rPr>
      </w:pPr>
      <w:r w:rsidRPr="00711051">
        <w:rPr>
          <w:rFonts w:ascii="Times New Roman" w:eastAsia="Calibri" w:hAnsi="Times New Roman" w:cs="Times New Roman"/>
          <w:b/>
          <w:bCs/>
          <w:sz w:val="24"/>
          <w:szCs w:val="24"/>
        </w:rPr>
        <w:t xml:space="preserve">(цигари и наргиле; нови електронагреваеми продукти: бездимни тютюневи изделия, електронни цигари и други изделия, съдържащи никотин) </w:t>
      </w:r>
    </w:p>
    <w:p w:rsidR="00711051" w:rsidRPr="00711051" w:rsidRDefault="00711051" w:rsidP="00711051">
      <w:pPr>
        <w:autoSpaceDE w:val="0"/>
        <w:autoSpaceDN w:val="0"/>
        <w:adjustRightInd w:val="0"/>
        <w:spacing w:after="0" w:line="240" w:lineRule="auto"/>
        <w:ind w:right="1"/>
        <w:jc w:val="both"/>
        <w:rPr>
          <w:rFonts w:ascii="Times New Roman" w:eastAsia="Calibri" w:hAnsi="Times New Roman" w:cs="Times New Roman"/>
          <w:b/>
          <w:bCs/>
          <w:i/>
          <w:iCs/>
          <w:sz w:val="24"/>
          <w:szCs w:val="24"/>
          <w:highlight w:val="yellow"/>
        </w:rPr>
      </w:pPr>
    </w:p>
    <w:p w:rsidR="00711051" w:rsidRPr="00711051" w:rsidRDefault="00711051" w:rsidP="0071105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11051">
        <w:rPr>
          <w:rFonts w:ascii="Times New Roman" w:eastAsia="Calibri" w:hAnsi="Times New Roman" w:cs="Times New Roman"/>
          <w:sz w:val="24"/>
          <w:szCs w:val="24"/>
        </w:rPr>
        <w:t xml:space="preserve">Тютюнът е растение, чиято основна активна съставка е никотинът. Той е типично психоактивно вещество, което въздейства върху централната нервна система и психиката, като променя процесите в тях - влияе върху вниманието, паметта, настроението, поведението и предизвиква зависимост. </w:t>
      </w:r>
    </w:p>
    <w:p w:rsidR="00711051" w:rsidRPr="00711051" w:rsidRDefault="00711051" w:rsidP="00711051">
      <w:pPr>
        <w:autoSpaceDE w:val="0"/>
        <w:autoSpaceDN w:val="0"/>
        <w:adjustRightInd w:val="0"/>
        <w:spacing w:after="0" w:line="240" w:lineRule="auto"/>
        <w:ind w:firstLine="709"/>
        <w:jc w:val="both"/>
        <w:rPr>
          <w:rFonts w:ascii="Times New Roman" w:eastAsia="Calibri" w:hAnsi="Times New Roman" w:cs="Times New Roman"/>
          <w:sz w:val="24"/>
          <w:szCs w:val="24"/>
        </w:rPr>
      </w:pPr>
    </w:p>
    <w:p w:rsidR="00711051" w:rsidRPr="00711051" w:rsidRDefault="00711051" w:rsidP="00711051">
      <w:pPr>
        <w:ind w:right="1"/>
        <w:jc w:val="both"/>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ВНИМАНИЕ: НИКОТИН!</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Тийнейджърските години са критични за развитието на мозъка, което продължава до средата на 20-те години. Младите хора, които използват психоактивни вещества и в частност продукти, съдържащи никотин под каквато и да е форма (цигари, наргиле, електронни цигари и други), са изложени на риск от дългосрочни неблагоприятни ефекти.</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Пубертетът е период на максимална чувствителност на мозъчните структури. Излагането на никотин в тази възраст не само застрашава правилното развитието на мозъка и неговото функциониране, но той е и силно пристрастяващ. Употребата му в детството и юношеството може да доведе до доживотна зависимост. Търсенето на силни усещания и експериментирането с вещества, се дължи най-вече на промените в съзряващия мозък, които никотина предизвиква, като активира никотиновите ацетилхолинови рецептори (nAChRs). Ранната употреба на никотин повлиява функционирането на клетъчните рецептори, като променя  отделянето на невротрансмитерите, свързани със системата за възнаграждение на мозъка – ацетилхолин, допамин, серотонин, глутамат и гама-аминомаслена киселина. Младежите, които започват да пушат, могат да се пристрастят към никотина по-бързо от възрастните, дори при кратка и нередовна употреба. При някои юноши могат да възникнат симптоми на никотинова зависимост само седмици или дни, след като са започнали да пушат дори само от време на време. </w:t>
      </w:r>
    </w:p>
    <w:p w:rsidR="00711051" w:rsidRPr="00711051" w:rsidRDefault="00711051" w:rsidP="00711051">
      <w:pPr>
        <w:numPr>
          <w:ilvl w:val="0"/>
          <w:numId w:val="25"/>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Промените в системата за възнаграждение на мозъка, възникнали под влияние на никотина, трайно повишават удоволствието от него и намаляват шансовете за спиране на употребата му в по-късна възраст. Тези промени стимулират употребата и на други психоактивни вещества, особено психостимуланти (кокаин, амфетамини и производните им).</w:t>
      </w:r>
    </w:p>
    <w:p w:rsidR="00711051" w:rsidRPr="00711051" w:rsidRDefault="00711051" w:rsidP="00711051">
      <w:pPr>
        <w:numPr>
          <w:ilvl w:val="0"/>
          <w:numId w:val="25"/>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Никотинът  променя активността на мозъчните клетки при подрастващите в зони, които отговарят за вниманието, заучаването и паметта. Излагането на никотин в тази възраст е свързано с намален контрол на импулсите; дефицит на вниманието и нарушения в познавателните способности; промени в настроението, включително тревожност и депресия.</w:t>
      </w:r>
    </w:p>
    <w:p w:rsidR="00711051" w:rsidRPr="00711051" w:rsidRDefault="00711051" w:rsidP="00711051">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lastRenderedPageBreak/>
        <w:t>Токсикологични характеристики на никотина:</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Никотинът /3-(1-метил-2-пиролидинил) пиридин, CAS № 54-11-5, ЕС №200-193-3/ е летлив алкалоид, който е основният химичен компонент, на който се дължи пристрастяването към тютюневите изделия. Потенциалът за пристрастяване зависи от постъпилата в организма доза от никотин и нараства с увеличаване на скоростта на доставяне на дозата и скоростта на абсорбция. Токсичността, причинена от никотина, зависи от дозата, продължителността, честотата и пътя на експозиция и индивидуалните различия.</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Механизмът на токсично действие на никотина включва стимулиране на никотиновите ацетилхолинови рецептори (nAChRs), които се намират в ганглийните синапси на парасимпатиковия и симпатиковия дял на вегетативната нервна система, нервно-мускулните синапси, синапси в медулата на надбъбреците и в централната нервна система.</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Острото отравяне с никотин предизвиква симптоми, които следват двуфазен модел. Първоначалните симптоми се дължат главно на стимулиращи ефекти и включват гадене и повръщане, обилно слюноотделяне, коремна болка, бледост, изпотяване, артериална хипертония, тахикардия, атаксия, тремор, главоболие, замаяност, мускулни фасцикулации и гърчове. След първоначалната фаза на стимулация при по-високи дози може да настъпи период на потискане на функциите със симптоми на артериална хипотония и брадикардия; депресия на централната нервна система; мускулна слабост и/или парализа (включително на дихателните мускули, със затруднено дишане; остра дихателна недостатъчност и кома).</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right="1"/>
        <w:jc w:val="both"/>
        <w:rPr>
          <w:rFonts w:ascii="Times New Roman" w:eastAsia="Times New Roman" w:hAnsi="Times New Roman" w:cs="Times New Roman"/>
          <w:sz w:val="24"/>
          <w:szCs w:val="24"/>
          <w:lang w:eastAsia="bg-BG"/>
        </w:rPr>
      </w:pPr>
    </w:p>
    <w:p w:rsidR="00711051" w:rsidRPr="00711051" w:rsidRDefault="00711051" w:rsidP="00711051">
      <w:pPr>
        <w:shd w:val="clear" w:color="auto" w:fill="FCF9EA"/>
        <w:autoSpaceDE w:val="0"/>
        <w:autoSpaceDN w:val="0"/>
        <w:adjustRightInd w:val="0"/>
        <w:spacing w:after="0" w:line="240" w:lineRule="auto"/>
        <w:ind w:right="1"/>
        <w:jc w:val="both"/>
        <w:rPr>
          <w:rFonts w:ascii="Times New Roman" w:eastAsia="Calibri" w:hAnsi="Times New Roman" w:cs="Times New Roman"/>
          <w:sz w:val="24"/>
          <w:szCs w:val="24"/>
        </w:rPr>
      </w:pPr>
      <w:r w:rsidRPr="00711051">
        <w:rPr>
          <w:rFonts w:ascii="Times New Roman" w:eastAsia="Calibri" w:hAnsi="Times New Roman" w:cs="Times New Roman"/>
          <w:b/>
          <w:bCs/>
          <w:sz w:val="24"/>
          <w:szCs w:val="24"/>
        </w:rPr>
        <w:t>КОНВЕНЦИОНАЛНИ  ЦИГАРИ И НАРГИЛЕ</w:t>
      </w:r>
    </w:p>
    <w:p w:rsidR="00711051" w:rsidRPr="00711051" w:rsidRDefault="00711051" w:rsidP="00711051">
      <w:pPr>
        <w:shd w:val="clear" w:color="auto" w:fill="FCF9EA"/>
        <w:autoSpaceDE w:val="0"/>
        <w:autoSpaceDN w:val="0"/>
        <w:adjustRightInd w:val="0"/>
        <w:spacing w:after="0" w:line="240" w:lineRule="auto"/>
        <w:ind w:right="1"/>
        <w:jc w:val="both"/>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(съставки на вдишвания от тях дим: катрани, въглероден оксид и никотин)</w:t>
      </w:r>
    </w:p>
    <w:p w:rsidR="00711051" w:rsidRPr="00711051" w:rsidRDefault="00711051" w:rsidP="00711051">
      <w:pPr>
        <w:autoSpaceDE w:val="0"/>
        <w:autoSpaceDN w:val="0"/>
        <w:adjustRightInd w:val="0"/>
        <w:spacing w:after="58" w:line="240" w:lineRule="auto"/>
        <w:ind w:right="1"/>
        <w:jc w:val="both"/>
        <w:rPr>
          <w:rFonts w:ascii="Times New Roman" w:eastAsia="Times New Roman" w:hAnsi="Times New Roman" w:cs="Times New Roman"/>
          <w:sz w:val="24"/>
          <w:szCs w:val="24"/>
          <w:lang w:eastAsia="bg-BG"/>
        </w:rPr>
      </w:pPr>
    </w:p>
    <w:p w:rsidR="00711051" w:rsidRPr="00711051" w:rsidRDefault="00711051" w:rsidP="00711051">
      <w:pPr>
        <w:numPr>
          <w:ilvl w:val="0"/>
          <w:numId w:val="24"/>
        </w:numPr>
        <w:spacing w:after="0" w:line="240" w:lineRule="auto"/>
        <w:ind w:firstLine="360"/>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Катрани – комбинация от маслени вещества, 60 от тях причиняват рак; увреждат белодробната тъкан; оцветяват пръстите и зъбите.</w:t>
      </w:r>
    </w:p>
    <w:p w:rsidR="00711051" w:rsidRPr="00711051" w:rsidRDefault="00711051" w:rsidP="00711051">
      <w:pPr>
        <w:numPr>
          <w:ilvl w:val="0"/>
          <w:numId w:val="2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Въглероден оксид – силно отровен газ; блокира газообмена на кислорода от белия дроб до тъканите; предизвиква кислороден глад в организма и увреждане на сърцето; мозъка и други органи; </w:t>
      </w:r>
    </w:p>
    <w:p w:rsidR="00711051" w:rsidRPr="00711051" w:rsidRDefault="00711051" w:rsidP="00711051">
      <w:pPr>
        <w:numPr>
          <w:ilvl w:val="0"/>
          <w:numId w:val="2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Никотин – психоактивно и токсично вещество, което предизвиква зависимост, вкл. физическа. Токсичните ефекти на никотина се проявяват след поглъщане, вдишване или контакт с кожата. Отравянето с никотин е потенциално смъртоносно, макар и да се случва сравнително рядко. Смъртоносната доза никотин е около 30-60 мг за възрастни и само 6 мг за деца. </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В дима от цигарите и водната лула (наргилe) има </w:t>
      </w:r>
      <w:r w:rsidRPr="00711051">
        <w:rPr>
          <w:rFonts w:ascii="Times New Roman" w:eastAsia="Times New Roman" w:hAnsi="Times New Roman" w:cs="Times New Roman"/>
          <w:b/>
          <w:bCs/>
          <w:sz w:val="24"/>
          <w:szCs w:val="24"/>
          <w:lang w:eastAsia="bg-BG"/>
        </w:rPr>
        <w:t xml:space="preserve">общо 7000 химични съединения </w:t>
      </w:r>
      <w:r w:rsidRPr="00711051">
        <w:rPr>
          <w:rFonts w:ascii="Times New Roman" w:eastAsia="Times New Roman" w:hAnsi="Times New Roman" w:cs="Times New Roman"/>
          <w:sz w:val="24"/>
          <w:szCs w:val="24"/>
          <w:lang w:eastAsia="bg-BG"/>
        </w:rPr>
        <w:t xml:space="preserve">– за 250 от тях се знае, че са токсични и увреждащи здравето, а за над 70 – причиняват ракови заболявания. Пушачът вдишва металите: кадмий, селен, олово, берил, хром, арсен. Също се поглъщат съединения като бензол, толуен, формалдехид, амоняк, циановодород, серен диоксид, ацетилводород и др. </w:t>
      </w:r>
      <w:r w:rsidRPr="00711051">
        <w:rPr>
          <w:rFonts w:ascii="Times New Roman" w:eastAsia="Times New Roman" w:hAnsi="Times New Roman" w:cs="Times New Roman"/>
          <w:b/>
          <w:bCs/>
          <w:sz w:val="24"/>
          <w:szCs w:val="24"/>
          <w:lang w:eastAsia="bg-BG"/>
        </w:rPr>
        <w:t>В цигарения дим се съдържат и радиоактивни вещества (полоний 210)</w:t>
      </w:r>
      <w:r w:rsidRPr="00711051">
        <w:rPr>
          <w:rFonts w:ascii="Times New Roman" w:eastAsia="Times New Roman" w:hAnsi="Times New Roman" w:cs="Times New Roman"/>
          <w:bCs/>
          <w:sz w:val="24"/>
          <w:szCs w:val="24"/>
          <w:lang w:eastAsia="bg-BG"/>
        </w:rPr>
        <w:t>,</w:t>
      </w:r>
      <w:r w:rsidRPr="00711051">
        <w:rPr>
          <w:rFonts w:ascii="Times New Roman" w:eastAsia="Times New Roman" w:hAnsi="Times New Roman" w:cs="Times New Roman"/>
          <w:sz w:val="24"/>
          <w:szCs w:val="24"/>
          <w:lang w:eastAsia="bg-BG"/>
        </w:rPr>
        <w:t xml:space="preserve"> попаднали в растението тютюн от почвата. Пушенето е радиоактивно – 2 кутии цигари дневно осигуряват радиация от 100 до няколкостотин рада (при допустима доза 5 рада), достатъчна да предизвика рак на белия дроб или друг орган. Това е причината, поради която раковите заболявания се срещат много по-често при пушачите. Пушенето на наргиле е продължителен процес с времетраене средно 1 час и това излага пушача на повече дим за по-дълъг период от време в сравнение с пушенето на цигара. Според Световната здравна организация (СЗО) за 1 час може да се вдиша толкова дим, колкото ако човек изпуши 100 цигари и повече.</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lastRenderedPageBreak/>
        <w:t>Тютюнопушенето (чрез цигари или наргиле) има изключително неблагоприятни ефекти върху здравето – то е доказан или вероятен причинител на близо 25 болести – ракови заболявания, болести на сърдечно-съдовата система, дихателната система и др. При пушенето на наргиле често се ползва общ маркуч и накрайник. Това може да предизвика заразяване с туберкулоза, херпес, респираторни заболявания и др. Резултати от лабораторни изследвания показват, че в самото устройство се създават условия за развитие на микроорганизми - стафилококи и гъбички, причиняващи различни заболявания.</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 xml:space="preserve">Тютюнопушенето влошава сексуалното здраве на мъжете, </w:t>
      </w:r>
      <w:r w:rsidRPr="00711051">
        <w:rPr>
          <w:rFonts w:ascii="Times New Roman" w:eastAsia="Times New Roman" w:hAnsi="Times New Roman" w:cs="Times New Roman"/>
          <w:sz w:val="24"/>
          <w:szCs w:val="24"/>
          <w:lang w:eastAsia="bg-BG"/>
        </w:rPr>
        <w:t xml:space="preserve">като уврежда кръвоносните съдове на половия член, което води до импотентност. Уврежда се и семенната течност, като се намалява оплодителната ѝ способност (брой; концентрация; подвижност; виталитет и морфология на сперматозоидите, които стават по-податливи на генетични дефекти). Пушенето може да предизвика и възпаление на простатната жлеза, както и затруднения в синтеза на така необходимия за мъжете тестостерон. </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 xml:space="preserve">Тютюнопушенето влошава сексуалното здраве на жените, </w:t>
      </w:r>
      <w:r w:rsidRPr="00711051">
        <w:rPr>
          <w:rFonts w:ascii="Times New Roman" w:eastAsia="Times New Roman" w:hAnsi="Times New Roman" w:cs="Times New Roman"/>
          <w:sz w:val="24"/>
          <w:szCs w:val="24"/>
          <w:lang w:eastAsia="bg-BG"/>
        </w:rPr>
        <w:t xml:space="preserve">като потиска производството на женския полов хормон естроген. Яйцеклетките стават по-податливи на генетични дефекти и се намалява яйчниковият резерв при момичето или жената. При пушачките са по-чести менструалните разстройства (нередовна менструация и аменорея), болка и предменструален синдром. При тях се наблюдава и по-трудно забременяване, по-голям риск от стерилитет и по-ранна менопауза (2-3 години по-рано). </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 В световен мащаб 1 милиард и 300 милиона души употребяват тютюн, а на всеки четири секунди пушенето отнема по един човешки живот. Около 90% от тийнeйджърите, които експериментират с цигарите, започват да пушат редовно и това продължава през целия им живот. </w:t>
      </w:r>
    </w:p>
    <w:p w:rsidR="00711051" w:rsidRPr="00711051" w:rsidRDefault="00711051" w:rsidP="00711051">
      <w:pPr>
        <w:autoSpaceDE w:val="0"/>
        <w:autoSpaceDN w:val="0"/>
        <w:adjustRightInd w:val="0"/>
        <w:spacing w:after="0" w:line="240" w:lineRule="auto"/>
        <w:ind w:right="1"/>
        <w:jc w:val="both"/>
        <w:rPr>
          <w:rFonts w:ascii="Times New Roman" w:eastAsia="Calibri" w:hAnsi="Times New Roman" w:cs="Times New Roman"/>
          <w:b/>
          <w:bCs/>
          <w:sz w:val="24"/>
          <w:szCs w:val="24"/>
        </w:rPr>
      </w:pPr>
    </w:p>
    <w:p w:rsidR="00711051" w:rsidRPr="00711051" w:rsidRDefault="00711051" w:rsidP="00711051">
      <w:pPr>
        <w:autoSpaceDE w:val="0"/>
        <w:autoSpaceDN w:val="0"/>
        <w:adjustRightInd w:val="0"/>
        <w:spacing w:after="0" w:line="240" w:lineRule="auto"/>
        <w:ind w:right="1"/>
        <w:jc w:val="both"/>
        <w:rPr>
          <w:rFonts w:ascii="Times New Roman" w:eastAsia="Calibri" w:hAnsi="Times New Roman" w:cs="Times New Roman"/>
          <w:b/>
          <w:bCs/>
          <w:sz w:val="24"/>
          <w:szCs w:val="24"/>
          <w:shd w:val="clear" w:color="auto" w:fill="FCF9EA"/>
        </w:rPr>
      </w:pPr>
      <w:r w:rsidRPr="00711051">
        <w:rPr>
          <w:rFonts w:ascii="Times New Roman" w:eastAsia="Calibri" w:hAnsi="Times New Roman" w:cs="Times New Roman"/>
          <w:b/>
          <w:bCs/>
          <w:sz w:val="24"/>
          <w:szCs w:val="24"/>
          <w:shd w:val="clear" w:color="auto" w:fill="FCF9EA"/>
        </w:rPr>
        <w:t>НАГРЕВАЕМИ (БЕЗДИМНИ) ТЮТЮНЕВИ ИЗДЕЛИЯ</w:t>
      </w:r>
    </w:p>
    <w:p w:rsidR="00711051" w:rsidRPr="00711051" w:rsidRDefault="00711051" w:rsidP="00711051">
      <w:pPr>
        <w:autoSpaceDE w:val="0"/>
        <w:autoSpaceDN w:val="0"/>
        <w:adjustRightInd w:val="0"/>
        <w:spacing w:after="0" w:line="240" w:lineRule="auto"/>
        <w:ind w:right="1"/>
        <w:jc w:val="both"/>
        <w:rPr>
          <w:rFonts w:ascii="Times New Roman" w:eastAsia="Calibri" w:hAnsi="Times New Roman" w:cs="Times New Roman"/>
          <w:b/>
          <w:bCs/>
          <w:sz w:val="24"/>
          <w:szCs w:val="24"/>
        </w:rPr>
      </w:pPr>
      <w:r w:rsidRPr="00711051">
        <w:rPr>
          <w:rFonts w:ascii="Times New Roman" w:eastAsia="Calibri" w:hAnsi="Times New Roman" w:cs="Times New Roman"/>
          <w:b/>
          <w:bCs/>
          <w:sz w:val="24"/>
          <w:szCs w:val="24"/>
          <w:shd w:val="clear" w:color="auto" w:fill="FCF9EA"/>
        </w:rPr>
        <w:t>(тютюневи стикове)</w:t>
      </w:r>
      <w:r w:rsidRPr="00711051">
        <w:rPr>
          <w:rFonts w:ascii="Times New Roman" w:eastAsia="Calibri" w:hAnsi="Times New Roman" w:cs="Times New Roman"/>
          <w:b/>
          <w:bCs/>
          <w:sz w:val="24"/>
          <w:szCs w:val="24"/>
        </w:rPr>
        <w:t xml:space="preserve"> </w:t>
      </w:r>
    </w:p>
    <w:p w:rsidR="00711051" w:rsidRPr="00711051" w:rsidRDefault="00711051" w:rsidP="00711051">
      <w:pPr>
        <w:autoSpaceDE w:val="0"/>
        <w:autoSpaceDN w:val="0"/>
        <w:adjustRightInd w:val="0"/>
        <w:spacing w:after="0" w:line="240" w:lineRule="auto"/>
        <w:ind w:right="1"/>
        <w:jc w:val="both"/>
        <w:rPr>
          <w:rFonts w:ascii="Times New Roman" w:eastAsia="Calibri" w:hAnsi="Times New Roman" w:cs="Times New Roman"/>
          <w:b/>
          <w:bCs/>
          <w:sz w:val="24"/>
          <w:szCs w:val="24"/>
        </w:rPr>
      </w:pPr>
    </w:p>
    <w:p w:rsidR="00711051" w:rsidRPr="00711051" w:rsidRDefault="00711051" w:rsidP="00711051">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711051">
        <w:rPr>
          <w:rFonts w:ascii="Times New Roman" w:eastAsia="Calibri" w:hAnsi="Times New Roman" w:cs="Times New Roman"/>
          <w:sz w:val="24"/>
          <w:szCs w:val="24"/>
        </w:rPr>
        <w:t xml:space="preserve"> Начинът им на действие е не чрез изгаряне на тютюна (под формата на тютюнев стик) в тях, а чрез нагряване на тютюневия стик в устройство с бързодействащ нагревател с електронен контрол до предварително определена температура (240 ᵒC). Засега няма доказателства, че тези изделия са по-малко вредни от конвенционалните цигари. Данни от изследвания показват, че в отделяния от тях аерозол се съдържат и други вещества, много от които са вредни и причиняват рак. Тютюнът е токсичен по своята същност и съдържа канцерогени, дори в естествената си форма. Затова Световната здравна организация счита, че всички форми на употреба на тютюн, включително бездимните тютюневи изделия, са вредни. </w:t>
      </w:r>
      <w:r w:rsidRPr="00711051">
        <w:rPr>
          <w:rFonts w:ascii="Times New Roman" w:eastAsia="Calibri" w:hAnsi="Times New Roman" w:cs="Times New Roman"/>
          <w:b/>
          <w:bCs/>
          <w:sz w:val="24"/>
          <w:szCs w:val="24"/>
        </w:rPr>
        <w:t>Бездимните тютюневи изделия за пушене НЕ са електронни цигари.</w:t>
      </w:r>
    </w:p>
    <w:p w:rsidR="00711051" w:rsidRPr="00711051" w:rsidRDefault="00711051" w:rsidP="00711051">
      <w:pPr>
        <w:autoSpaceDE w:val="0"/>
        <w:autoSpaceDN w:val="0"/>
        <w:adjustRightInd w:val="0"/>
        <w:spacing w:after="0" w:line="240" w:lineRule="auto"/>
        <w:ind w:right="1"/>
        <w:jc w:val="both"/>
        <w:rPr>
          <w:rFonts w:ascii="Times New Roman" w:eastAsia="Calibri" w:hAnsi="Times New Roman" w:cs="Times New Roman"/>
          <w:sz w:val="24"/>
          <w:szCs w:val="24"/>
        </w:rPr>
      </w:pPr>
      <w:r w:rsidRPr="00711051">
        <w:rPr>
          <w:rFonts w:ascii="Times New Roman" w:eastAsia="Calibri" w:hAnsi="Times New Roman" w:cs="Times New Roman"/>
          <w:b/>
          <w:bCs/>
          <w:sz w:val="24"/>
          <w:szCs w:val="24"/>
        </w:rPr>
        <w:t xml:space="preserve"> </w:t>
      </w:r>
    </w:p>
    <w:p w:rsidR="00711051" w:rsidRPr="00711051" w:rsidRDefault="00711051" w:rsidP="00711051">
      <w:pPr>
        <w:shd w:val="clear" w:color="auto" w:fill="FCF9EA"/>
        <w:spacing w:after="0" w:line="240" w:lineRule="auto"/>
        <w:ind w:right="1"/>
        <w:jc w:val="both"/>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ЕЛЕКТРОННИ ЦИГАРИ</w:t>
      </w:r>
    </w:p>
    <w:p w:rsidR="00711051" w:rsidRPr="00711051" w:rsidRDefault="00711051" w:rsidP="00711051">
      <w:pPr>
        <w:spacing w:after="0" w:line="240" w:lineRule="auto"/>
        <w:ind w:firstLine="709"/>
        <w:jc w:val="both"/>
        <w:rPr>
          <w:rFonts w:ascii="Times New Roman" w:eastAsia="Times New Roman" w:hAnsi="Times New Roman" w:cs="Times New Roman"/>
          <w:b/>
          <w:bCs/>
          <w:sz w:val="24"/>
          <w:szCs w:val="24"/>
          <w:lang w:eastAsia="bg-BG"/>
        </w:rPr>
      </w:pPr>
    </w:p>
    <w:p w:rsidR="00711051" w:rsidRPr="00711051" w:rsidRDefault="00711051" w:rsidP="00711051">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711051">
        <w:rPr>
          <w:rFonts w:ascii="Times New Roman" w:eastAsia="Calibri" w:hAnsi="Times New Roman" w:cs="Times New Roman"/>
          <w:bCs/>
          <w:sz w:val="24"/>
          <w:szCs w:val="24"/>
        </w:rPr>
        <w:t xml:space="preserve">Електронните цигари са устройства, които работят на батерии. Чрез тях пушачът вдишва никотина под формата на изпарения. Срещат се и под наименованието “електронна система за доставяне на никотин” (ENDS), което включва в себе си устройства от рода на изпарителните устройства, известни още като „Vape“; електронни наргилета и електронни лули. За разлика от стандартните цигари, тези устройства не съдържат тютюн. На пазара се предлагат и електронни цигари, които не съдържат никотин в нагреваемите им течности (ENNDS). Принципът им на действие е следният: те загряват течност, за да я превърнат в изпарения, които след това се вдишват. Въпреки че изпаренията приличат на пара, те не съдържат вода. Отделеният аерозол при пушене </w:t>
      </w:r>
      <w:r w:rsidRPr="00711051">
        <w:rPr>
          <w:rFonts w:ascii="Times New Roman" w:eastAsia="Calibri" w:hAnsi="Times New Roman" w:cs="Times New Roman"/>
          <w:bCs/>
          <w:sz w:val="24"/>
          <w:szCs w:val="24"/>
        </w:rPr>
        <w:lastRenderedPageBreak/>
        <w:t>на електронни цигари обичайно съдържа никотин, ароматизиращи субстанции (диацетил), летливи органични съединения (формалдехид, пропиленгликол, глицерол) и тежки метали (никел, калай, хром, олово).</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Употребата на електронни цигари излага на по-малко токсични химикали, отколкото пушенето на традиционни цигари, но тя не е безопасна. Пропиленгликолът и глицеролът в течностите се преобразуват при нагряване до канцерогенните формалдехид и ацеталдехид, като нивата им зависят от напрежението на батерията, използвана в електронните цигари. Използването им причинява: дразнене на лигавицата на горните дихателни пътища (нос, гърло, устна кухина) и очите; уврeждания на белите дробове от типа „облитериращ бронхиолит“; рак на белите дробове, черния дроб, бъбреците; обостряне на бронхиална астма; хронична кашлица; токсичен ефект върху белодробния и съдов ендотел, който води до кръвохрак и тромбози; повишен риск от белодробна емболия, инфаркт и инсулт; хиперлипидемия и атеросклероза; повишен риск от развитие на диабет тип 2. При допълнително, нелегално добавяне на канабис и синтетични канабиноиди към течността в устройствата възникват остри психози, които са животозастрашаващи. </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7456" behindDoc="0" locked="0" layoutInCell="1" allowOverlap="1" wp14:anchorId="2EB3F9EC" wp14:editId="4987A096">
                <wp:simplePos x="0" y="0"/>
                <wp:positionH relativeFrom="column">
                  <wp:posOffset>52705</wp:posOffset>
                </wp:positionH>
                <wp:positionV relativeFrom="paragraph">
                  <wp:posOffset>83820</wp:posOffset>
                </wp:positionV>
                <wp:extent cx="6103620" cy="1082040"/>
                <wp:effectExtent l="0" t="0" r="11430" b="22860"/>
                <wp:wrapNone/>
                <wp:docPr id="196" name="Rectangle 196"/>
                <wp:cNvGraphicFramePr/>
                <a:graphic xmlns:a="http://schemas.openxmlformats.org/drawingml/2006/main">
                  <a:graphicData uri="http://schemas.microsoft.com/office/word/2010/wordprocessingShape">
                    <wps:wsp>
                      <wps:cNvSpPr/>
                      <wps:spPr>
                        <a:xfrm>
                          <a:off x="0" y="0"/>
                          <a:ext cx="6103620" cy="1082040"/>
                        </a:xfrm>
                        <a:prstGeom prst="rect">
                          <a:avLst/>
                        </a:prstGeom>
                        <a:solidFill>
                          <a:srgbClr val="0E2841">
                            <a:lumMod val="50000"/>
                            <a:lumOff val="50000"/>
                          </a:srgbClr>
                        </a:solidFill>
                        <a:ln w="19050" cap="flat" cmpd="sng" algn="ctr">
                          <a:solidFill>
                            <a:srgbClr val="0F9ED5">
                              <a:shade val="50000"/>
                            </a:srgbClr>
                          </a:solidFill>
                          <a:prstDash val="solid"/>
                          <a:miter lim="800000"/>
                        </a:ln>
                        <a:effectLst/>
                      </wps:spPr>
                      <wps:txbx>
                        <w:txbxContent>
                          <w:p w:rsidR="00711051" w:rsidRDefault="00711051" w:rsidP="00711051">
                            <w:pPr>
                              <w:shd w:val="clear" w:color="auto" w:fill="4C94D8"/>
                              <w:jc w:val="both"/>
                            </w:pPr>
                            <w:r w:rsidRPr="00A030DC">
                              <w:rPr>
                                <w:rFonts w:ascii="Times New Roman" w:hAnsi="Times New Roman"/>
                                <w:sz w:val="24"/>
                                <w:szCs w:val="24"/>
                              </w:rPr>
                              <w:t>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афективни разстройства в зряла възраст.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B3F9EC" id="Rectangle 196" o:spid="_x0000_s1032" style="position:absolute;left:0;text-align:left;margin-left:4.15pt;margin-top:6.6pt;width:480.6pt;height:8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" fillcolor="#4e95d9" strokecolor="#08739c" strokeweight="1.5pt">
                <v:textbox>
                  <w:txbxContent>
                    <w:p w:rsidR="00711051" w:rsidRDefault="00711051" w:rsidP="00711051">
                      <w:pPr>
                        <w:shd w:val="clear" w:color="auto" w:fill="4C94D8"/>
                        <w:jc w:val="both"/>
                      </w:pPr>
                      <w:r w:rsidRPr="00A030DC">
                        <w:rPr>
                          <w:rFonts w:ascii="Times New Roman" w:hAnsi="Times New Roman"/>
                          <w:sz w:val="24"/>
                          <w:szCs w:val="24"/>
                        </w:rPr>
                        <w:t>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афективни разстройства в зряла възраст.</w:t>
                      </w:r>
                    </w:p>
                  </w:txbxContent>
                </v:textbox>
              </v:rect>
            </w:pict>
          </mc:Fallback>
        </mc:AlternateConten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Проучвания показват, че младите хора, които използват електронни цигари, са 3 пъти по-склонни да преминат към конвенционални цигари. По този начин употребата на електронни цигари се счита за "врата" към започване на употребата на тютюневи изделия или може да доведе до двойна употреба на никотин и тютюневи изделия. Дори еднократна употреба на ENDS повишава до 3 пъти вероятността за започване на употреба на традиционни тютюневи изделия.</w:t>
      </w:r>
      <w:r w:rsidRPr="00711051">
        <w:rPr>
          <w:rFonts w:ascii="Calibri" w:eastAsia="Times New Roman" w:hAnsi="Calibri" w:cs="Times New Roman"/>
          <w:lang w:eastAsia="bg-BG"/>
        </w:rPr>
        <w:t xml:space="preserve"> </w:t>
      </w:r>
      <w:r w:rsidRPr="00711051">
        <w:rPr>
          <w:rFonts w:ascii="Times New Roman" w:eastAsia="Times New Roman" w:hAnsi="Times New Roman" w:cs="Times New Roman"/>
          <w:sz w:val="24"/>
          <w:szCs w:val="24"/>
          <w:lang w:eastAsia="bg-BG"/>
        </w:rPr>
        <w:t>Приблизително 80% от хората, които започват да пушат по време на юношеството, ще продължат да пушат в зряла възраст и една трета от тези хора ще умрат преждевременно поради заболяване, свързано с тютюнопушенето.</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bg-BG"/>
        </w:rPr>
      </w:pPr>
      <w:r w:rsidRPr="00711051">
        <w:rPr>
          <w:rFonts w:ascii="Times New Roman" w:eastAsia="Times New Roman" w:hAnsi="Times New Roman" w:cs="Times New Roman"/>
          <w:sz w:val="24"/>
          <w:szCs w:val="24"/>
          <w:lang w:eastAsia="bg-BG"/>
        </w:rPr>
        <w:t xml:space="preserve">Електронните цигари могат да причинят наранявания от пожари и експлозии от дефектни батерии. </w:t>
      </w:r>
      <w:r w:rsidRPr="00711051">
        <w:rPr>
          <w:rFonts w:ascii="Times New Roman" w:eastAsia="Times New Roman" w:hAnsi="Times New Roman" w:cs="Times New Roman"/>
          <w:bCs/>
          <w:iCs/>
          <w:sz w:val="24"/>
          <w:szCs w:val="24"/>
          <w:lang w:eastAsia="bg-BG"/>
        </w:rPr>
        <w:t>Те представляват сериозна заплаха за околната среда, защото съдържат пластмаса, метали, токсични електронни течности, както и батерия (обикновено литиево-йонна), които обикновено се изхвърлят неправилно.</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Тези рискове са посочени с уведомления в портала SAFETY GATE на Европейската комисия за опасни нехранителни стоки</w:t>
      </w:r>
    </w:p>
    <w:p w:rsidR="00711051" w:rsidRPr="00711051" w:rsidRDefault="00711051" w:rsidP="00711051">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bg-BG"/>
        </w:rPr>
      </w:pPr>
    </w:p>
    <w:p w:rsidR="00711051" w:rsidRPr="00711051" w:rsidRDefault="00711051" w:rsidP="00711051">
      <w:pPr>
        <w:autoSpaceDE w:val="0"/>
        <w:autoSpaceDN w:val="0"/>
        <w:adjustRightInd w:val="0"/>
        <w:spacing w:after="0" w:line="240" w:lineRule="auto"/>
        <w:ind w:right="1"/>
        <w:jc w:val="both"/>
        <w:rPr>
          <w:rFonts w:ascii="Times New Roman" w:eastAsia="Times New Roman" w:hAnsi="Times New Roman" w:cs="Times New Roman"/>
          <w:sz w:val="24"/>
          <w:szCs w:val="24"/>
          <w:lang w:eastAsia="bg-BG"/>
        </w:rPr>
      </w:pPr>
    </w:p>
    <w:p w:rsidR="00711051" w:rsidRPr="00711051" w:rsidRDefault="00711051" w:rsidP="00711051">
      <w:pPr>
        <w:shd w:val="clear" w:color="auto" w:fill="FCF9EA"/>
        <w:autoSpaceDE w:val="0"/>
        <w:autoSpaceDN w:val="0"/>
        <w:adjustRightInd w:val="0"/>
        <w:spacing w:after="0"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 xml:space="preserve">ДРУГИ НИКОТИНОВИ ПРОДУКТИ </w:t>
      </w:r>
    </w:p>
    <w:p w:rsidR="00711051" w:rsidRPr="00711051" w:rsidRDefault="00711051" w:rsidP="00711051">
      <w:pPr>
        <w:shd w:val="clear" w:color="auto" w:fill="FCF9EA"/>
        <w:ind w:right="1"/>
        <w:jc w:val="both"/>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(никотинови пакетчета)</w:t>
      </w:r>
    </w:p>
    <w:p w:rsidR="00711051" w:rsidRPr="00711051" w:rsidRDefault="00711051" w:rsidP="0071105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Това са малки торбички от микрофибърна тъкан, които съдържат никотин под формата на никотинови соли и някои други съставки (растителни фибри, вода, овкусители, ароматизатори, подсладители и много „Е“-та). Продават се като никотинови сашета, никопакетчета, никоторбички, никопаучове (на английски “nicotine pouches”).</w:t>
      </w:r>
      <w:r w:rsidRPr="00711051">
        <w:rPr>
          <w:rFonts w:ascii="Times New Roman" w:eastAsia="Times New Roman" w:hAnsi="Times New Roman" w:cs="Times New Roman"/>
          <w:b/>
          <w:bCs/>
          <w:sz w:val="24"/>
          <w:szCs w:val="24"/>
          <w:lang w:eastAsia="bg-BG"/>
        </w:rPr>
        <w:t xml:space="preserve">Този вид бездимен продукт се приема през устата, без да се отваря самата „торбичка“. Не се пуши, поглъща, дъвче или смуче! </w:t>
      </w:r>
      <w:r w:rsidRPr="00711051">
        <w:rPr>
          <w:rFonts w:ascii="Times New Roman" w:eastAsia="Times New Roman" w:hAnsi="Times New Roman" w:cs="Times New Roman"/>
          <w:sz w:val="24"/>
          <w:szCs w:val="24"/>
          <w:lang w:eastAsia="bg-BG"/>
        </w:rPr>
        <w:t xml:space="preserve">Пакетчето се поставя между венеца и горната устна за определен период от време (около 30 мин.) и никотинът се абсорбира от устната лигавица. Никотиновите пакетчета се предлагат с различно </w:t>
      </w:r>
      <w:r w:rsidRPr="00711051">
        <w:rPr>
          <w:rFonts w:ascii="Times New Roman" w:eastAsia="Times New Roman" w:hAnsi="Times New Roman" w:cs="Times New Roman"/>
          <w:sz w:val="24"/>
          <w:szCs w:val="24"/>
          <w:lang w:eastAsia="bg-BG"/>
        </w:rPr>
        <w:lastRenderedPageBreak/>
        <w:t xml:space="preserve">съдържание на веществото, като се достига и до много високи концентрации – до 50 милиграма съдържание на никотин в едно пакетче. </w:t>
      </w:r>
    </w:p>
    <w:p w:rsidR="00711051" w:rsidRPr="00711051" w:rsidRDefault="00711051" w:rsidP="00711051">
      <w:pPr>
        <w:autoSpaceDE w:val="0"/>
        <w:autoSpaceDN w:val="0"/>
        <w:adjustRightInd w:val="0"/>
        <w:spacing w:after="0" w:line="240" w:lineRule="auto"/>
        <w:ind w:firstLine="709"/>
        <w:jc w:val="both"/>
        <w:rPr>
          <w:rFonts w:ascii="Times New Roman" w:eastAsia="Calibri" w:hAnsi="Times New Roman" w:cs="Times New Roman"/>
          <w:sz w:val="24"/>
          <w:szCs w:val="24"/>
        </w:rPr>
      </w:pPr>
      <w:r w:rsidRPr="00711051">
        <w:rPr>
          <w:rFonts w:ascii="Times New Roman" w:eastAsia="Calibri" w:hAnsi="Times New Roman" w:cs="Times New Roman"/>
          <w:bCs/>
          <w:sz w:val="24"/>
          <w:szCs w:val="24"/>
        </w:rPr>
        <w:t>Никотиновите паучове имат различни вкусове и аромати, вложени с идеята да привличат млади потребители.</w:t>
      </w:r>
      <w:r w:rsidRPr="00711051">
        <w:rPr>
          <w:rFonts w:ascii="Times New Roman" w:eastAsia="Calibri" w:hAnsi="Times New Roman" w:cs="Times New Roman"/>
          <w:b/>
          <w:bCs/>
          <w:sz w:val="24"/>
          <w:szCs w:val="24"/>
        </w:rPr>
        <w:t xml:space="preserve"> </w:t>
      </w:r>
      <w:r w:rsidRPr="00711051">
        <w:rPr>
          <w:rFonts w:ascii="Times New Roman" w:eastAsia="Calibri" w:hAnsi="Times New Roman" w:cs="Times New Roman"/>
          <w:sz w:val="24"/>
          <w:szCs w:val="24"/>
        </w:rPr>
        <w:t xml:space="preserve">Производителите ги представят на пазара като по-безопасна алтернатива на пушенето и дори ги </w:t>
      </w:r>
      <w:r w:rsidRPr="00711051">
        <w:rPr>
          <w:rFonts w:ascii="Times New Roman" w:eastAsia="Calibri" w:hAnsi="Times New Roman" w:cs="Times New Roman"/>
          <w:bCs/>
          <w:sz w:val="24"/>
          <w:szCs w:val="24"/>
        </w:rPr>
        <w:t>рекламират в социалните мрежи чрез платени инфлуенсъри, като съвместими със здравословния и активен начин на живот, и като проява на грижа за тялото и добрия външен вид.</w:t>
      </w:r>
      <w:r w:rsidRPr="00711051">
        <w:rPr>
          <w:rFonts w:ascii="Times New Roman" w:eastAsia="Calibri" w:hAnsi="Times New Roman" w:cs="Times New Roman"/>
          <w:b/>
          <w:bCs/>
          <w:sz w:val="24"/>
          <w:szCs w:val="24"/>
        </w:rPr>
        <w:t xml:space="preserve"> </w:t>
      </w:r>
      <w:r w:rsidRPr="00711051">
        <w:rPr>
          <w:rFonts w:ascii="Times New Roman" w:eastAsia="Calibri" w:hAnsi="Times New Roman" w:cs="Times New Roman"/>
          <w:sz w:val="24"/>
          <w:szCs w:val="24"/>
        </w:rPr>
        <w:t>Често се рекламират и като начин за преодоляване на зависимостта от цигарите (като вид никотин-заместваща терапия</w:t>
      </w:r>
      <w:r w:rsidRPr="00711051">
        <w:rPr>
          <w:rFonts w:ascii="Times New Roman" w:eastAsia="Calibri" w:hAnsi="Times New Roman" w:cs="Times New Roman"/>
          <w:b/>
          <w:bCs/>
          <w:sz w:val="24"/>
          <w:szCs w:val="24"/>
        </w:rPr>
        <w:t xml:space="preserve">). Важно е да се знае, че те не са одобрени от никоя институция по света като такова средство (за разлика от никотиновата дъвка, таблетки за смучене или никотиновите пластири). </w:t>
      </w:r>
      <w:r w:rsidRPr="00711051">
        <w:rPr>
          <w:rFonts w:ascii="Times New Roman" w:eastAsia="Calibri" w:hAnsi="Times New Roman" w:cs="Times New Roman"/>
          <w:bCs/>
          <w:sz w:val="24"/>
          <w:szCs w:val="24"/>
        </w:rPr>
        <w:t xml:space="preserve">За никотиновите паучове по-скоро може да се каже, че поддържат никотиновата зависимост, защото много от потребителите им ги ползват, без да са спрели цигарите, за консумация на места, където пушенето е забранено. </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Продуктът „никотинови паучове“ („снус“,“никотинови бонбони“,“изделия, съдържащи никотин“) представлява кутия с 20 бр. пакетчета с никотин за орална употреба, без съдържание на тютюн, катран и изпарения/дим. Предлага се в голямо разнообразие от вкусове и аромати. Всяко пакетче е в пореста опаковка, поставя се под горната устна до ъгъла на устата. Никотинът се абсорбира от лигавицата на устната кухина (в рамките на 1-3 минути), като ефектът е за около 30 минути. Съдържанието на никотин в пакетчето е в различни граници  - от 6 до 50 мг. Колкото по-високо е съдържанието на никотин в пакетчето, толкова повече нараства риска от проява на остра  никотинова интоксикация.</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Никотиновите пакетчетата са еквивалент на „снус“, който е алтернатива на цигарите в скандинавските държави.</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Съгласно </w:t>
      </w:r>
      <w:r w:rsidRPr="00711051">
        <w:rPr>
          <w:rFonts w:ascii="Times New Roman" w:eastAsia="Times New Roman" w:hAnsi="Times New Roman" w:cs="Times New Roman"/>
          <w:i/>
          <w:sz w:val="24"/>
          <w:szCs w:val="24"/>
          <w:lang w:eastAsia="bg-BG"/>
        </w:rPr>
        <w:t>Директива 2014/14 на ЕС за сближаване на законовите, подзаконовите и административните разпоредби на държавите членки относно производството, представянето и продажбата на тютюневи и свързани с тях изделия и за отмяна на Директива 2001/37/ЕО</w:t>
      </w:r>
      <w:r w:rsidRPr="00711051">
        <w:rPr>
          <w:rFonts w:ascii="Times New Roman" w:eastAsia="Times New Roman" w:hAnsi="Times New Roman" w:cs="Times New Roman"/>
          <w:sz w:val="24"/>
          <w:szCs w:val="24"/>
          <w:lang w:eastAsia="bg-BG"/>
        </w:rPr>
        <w:t>, транспонирана в България чрез Закона за тютюна, тютюневите и свързани с тях изделия тютюна за орална употреба, „снус“ е забранен във всички държави от Европейския съюз, с изключение на Швеция и Норвегия.</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 определението за тютюн за орална употреба „снус“ (съгласно Директива 2014/14/ЕС): попадат всички изделия, предназначени за използване през устата, с изключение на предназначените за вдишване или дъвчене, съставени изцяло или частично от тютюн, на прах или на отделни частици или каквато и да е комбинация от тези форми, и по-специално тези, представени в пликчета дози или в порести пликчета.</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Продажбата на продукта никотинови торбички или „снус без тютюн“ не попадат в разпоредбите, въведени в европейското законодателство, тъй като в тези продукти няма тютюн. </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През 2023 г. Народното събрание прие промени в националното законодателство и по-конкретно в  чл. 5б, ал. 3 и 4 от Закона за закрила на детето (обн. </w:t>
      </w:r>
      <w:r w:rsidRPr="00711051">
        <w:rPr>
          <w:rFonts w:ascii="Times New Roman" w:eastAsia="Times New Roman" w:hAnsi="Times New Roman" w:cs="Times New Roman"/>
          <w:sz w:val="24"/>
          <w:szCs w:val="24"/>
          <w:shd w:val="clear" w:color="auto" w:fill="FFFFFF"/>
          <w:lang w:eastAsia="bg-BG"/>
        </w:rPr>
        <w:t>ДВ. бр. 49 от 6 Юни 2023г.</w:t>
      </w:r>
      <w:r w:rsidRPr="00711051">
        <w:rPr>
          <w:rFonts w:ascii="Times New Roman" w:eastAsia="Times New Roman" w:hAnsi="Times New Roman" w:cs="Times New Roman"/>
          <w:sz w:val="24"/>
          <w:szCs w:val="24"/>
          <w:lang w:eastAsia="bg-BG"/>
        </w:rPr>
        <w:t xml:space="preserve">) и Закона за тютюна, тютюневите и свързаните с тях изделия (обн., ДВ, бр. 106 от 2023 г.). Към изделията, съдържащи никотин са включени и тези, които са съставени изцяло или частично от никотин на прах, отделни частици, паста, гел или друга форма, или комбинация от тях, включително предлагани и на малки порции в пакетчета („паучове“) или порести пликчета, които намират все по-широко разпространение сред децата и младежите. С промените в закона се цели намаляване на привлекателността на нагреваемите тютюневи изделия и повишаване на информираността на потребителите относно нивото на риска, свързан с употребата на тези изделия. Регламентирана е забрана за предлагането и продажбата на нагреваеми тютюневи изделия, с характерни вкусово-ароматни качества и съдържащи овкусители, в която и да е от съставните им </w:t>
      </w:r>
      <w:r w:rsidRPr="00711051">
        <w:rPr>
          <w:rFonts w:ascii="Times New Roman" w:eastAsia="Times New Roman" w:hAnsi="Times New Roman" w:cs="Times New Roman"/>
          <w:sz w:val="24"/>
          <w:szCs w:val="24"/>
          <w:lang w:eastAsia="bg-BG"/>
        </w:rPr>
        <w:lastRenderedPageBreak/>
        <w:t>части, даващи възможност за промяна на мириса или вкуса на съответните тютюневи изделия или на интензитета на техния дим или аерозол, което най-вече привлича децата и младите хора.</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По отношение на въведените забрани в Закона за закрила на детето (чл. 5б, ал. 3 и ал. 4) e забранено продажбата, предлагането и употребата на тютюневи и свързани с тях изделия, изделия, различни от тютюневи изделия, бездимни тютюневи изделия, нови тютюневи изделия, нагреваеми тютюневи изделия и диазотен оксид (райски газ).</w:t>
      </w:r>
    </w:p>
    <w:p w:rsidR="00711051" w:rsidRPr="00711051" w:rsidRDefault="00711051" w:rsidP="00711051">
      <w:pPr>
        <w:spacing w:after="0" w:line="240" w:lineRule="auto"/>
        <w:ind w:firstLine="709"/>
        <w:jc w:val="both"/>
        <w:rPr>
          <w:rFonts w:ascii="Times New Roman" w:eastAsia="Times New Roman" w:hAnsi="Times New Roman" w:cs="Times New Roman"/>
          <w:sz w:val="24"/>
          <w:szCs w:val="24"/>
          <w:lang w:eastAsia="bg-BG"/>
        </w:rPr>
      </w:pPr>
    </w:p>
    <w:p w:rsidR="00711051" w:rsidRPr="00711051" w:rsidRDefault="00711051" w:rsidP="00711051">
      <w:pPr>
        <w:jc w:val="both"/>
        <w:outlineLvl w:val="1"/>
        <w:rPr>
          <w:rFonts w:ascii="Times New Roman" w:eastAsia="Open Sans Bold" w:hAnsi="Times New Roman" w:cs="Times New Roman"/>
          <w:b/>
          <w:bCs/>
          <w:color w:val="1A62FF"/>
          <w:sz w:val="24"/>
          <w:szCs w:val="24"/>
          <w:highlight w:val="lightGray"/>
          <w:u w:val="single" w:color="1A62FF"/>
          <w:lang w:eastAsia="bg-BG"/>
        </w:rPr>
      </w:pPr>
      <w:bookmarkStart w:id="13" w:name="_Toc196818247"/>
      <w:r w:rsidRPr="00711051">
        <w:rPr>
          <w:rFonts w:ascii="Times New Roman" w:eastAsia="Open Sans Bold" w:hAnsi="Times New Roman" w:cs="Times New Roman"/>
          <w:b/>
          <w:bCs/>
          <w:color w:val="1A62FF"/>
          <w:sz w:val="24"/>
          <w:szCs w:val="24"/>
          <w:highlight w:val="lightGray"/>
          <w:u w:val="single" w:color="1A62FF"/>
          <w:lang w:eastAsia="bg-BG"/>
        </w:rPr>
        <w:t>4.3.  Рискове от употребата на енергийни напитки и райски газ</w:t>
      </w:r>
      <w:bookmarkEnd w:id="13"/>
    </w:p>
    <w:p w:rsidR="00711051" w:rsidRPr="00711051" w:rsidRDefault="00711051" w:rsidP="00711051">
      <w:pPr>
        <w:shd w:val="clear" w:color="auto" w:fill="FFFFFF"/>
        <w:spacing w:after="0" w:line="240" w:lineRule="auto"/>
        <w:ind w:right="1" w:firstLine="567"/>
        <w:jc w:val="both"/>
        <w:outlineLvl w:val="4"/>
        <w:rPr>
          <w:rFonts w:ascii="Times New Roman" w:eastAsia="Times New Roman" w:hAnsi="Times New Roman" w:cs="Times New Roman"/>
          <w:b/>
          <w:sz w:val="24"/>
          <w:szCs w:val="24"/>
          <w:shd w:val="clear" w:color="auto" w:fill="FFFFFF"/>
          <w:lang w:eastAsia="bg-BG"/>
        </w:rPr>
      </w:pPr>
      <w:r w:rsidRPr="00711051">
        <w:rPr>
          <w:rFonts w:ascii="Times New Roman" w:eastAsia="Times New Roman" w:hAnsi="Times New Roman" w:cs="Times New Roman"/>
          <w:b/>
          <w:sz w:val="24"/>
          <w:szCs w:val="24"/>
          <w:shd w:val="clear" w:color="auto" w:fill="FFFFFF"/>
          <w:lang w:eastAsia="bg-BG"/>
        </w:rPr>
        <w:t>4.3.1. Енергийни напитки</w:t>
      </w:r>
    </w:p>
    <w:p w:rsidR="00711051" w:rsidRPr="00711051" w:rsidRDefault="00711051" w:rsidP="00711051">
      <w:pPr>
        <w:shd w:val="clear" w:color="auto" w:fill="FFFFFF"/>
        <w:spacing w:after="0"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Енергийните напитки са безалкохолни напитки, масово представяни като доставящи “енергия”. Енергизиращият им ефект не се свързва с висока енергийна стойност, а със стимулиращо действие върху функциите на организма на включените в състава им биологично-активни вещества, витамини и растителни екстракти. </w:t>
      </w:r>
    </w:p>
    <w:p w:rsidR="00711051" w:rsidRPr="00711051" w:rsidRDefault="00711051" w:rsidP="00711051">
      <w:pPr>
        <w:shd w:val="clear" w:color="auto" w:fill="FFFFFF"/>
        <w:spacing w:after="0"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Определение на термина “Енергийни напитки” липсва, както в научната литература, така и в законодателни документи, но те съдържат обичайно различни комбинации и количества от кофеин, витамини от В групата, растителни екстракти (гуарана, мате, акация, женшен, гинко билоба), таурин, глюкоронолактон, инозитол, карнитин, креатин и др. Тези напитки са разработени за подкрепа на умствената и физическа активност, за намаляване признаците на умора. Установено е например, че приемът на 250 мл дневно на енергийна напитка, съдържаща кофеин, женшен и гуарана стимулира мозъчната активност, запаметяването и вниманието, а консумацията на напитка с комбинация от захари, таурин и глюкоронолактон оказва въздействие върху скоростта на реакциите при умора. </w:t>
      </w:r>
    </w:p>
    <w:p w:rsidR="00711051" w:rsidRPr="00711051" w:rsidRDefault="00711051" w:rsidP="00711051">
      <w:pPr>
        <w:shd w:val="clear" w:color="auto" w:fill="FFFFFF"/>
        <w:spacing w:after="0" w:line="240" w:lineRule="auto"/>
        <w:ind w:right="1" w:firstLine="567"/>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20" w:line="240" w:lineRule="auto"/>
        <w:ind w:right="1" w:firstLine="567"/>
        <w:outlineLvl w:val="1"/>
        <w:rPr>
          <w:rFonts w:ascii="Times New Roman" w:eastAsia="Times New Roman" w:hAnsi="Times New Roman" w:cs="Times New Roman"/>
          <w:b/>
          <w:bCs/>
          <w:sz w:val="24"/>
          <w:szCs w:val="24"/>
          <w:lang w:eastAsia="bg-BG"/>
        </w:rPr>
      </w:pPr>
      <w:bookmarkStart w:id="14" w:name="_Toc192256999"/>
      <w:r w:rsidRPr="00711051">
        <w:rPr>
          <w:rFonts w:ascii="Times New Roman" w:eastAsia="Times New Roman" w:hAnsi="Times New Roman" w:cs="Times New Roman"/>
          <w:b/>
          <w:bCs/>
          <w:sz w:val="24"/>
          <w:szCs w:val="24"/>
          <w:lang w:eastAsia="bg-BG"/>
        </w:rPr>
        <w:t xml:space="preserve">  </w:t>
      </w:r>
      <w:bookmarkStart w:id="15" w:name="_Toc196818248"/>
      <w:r w:rsidRPr="00711051">
        <w:rPr>
          <w:rFonts w:ascii="Times New Roman" w:eastAsia="Times New Roman" w:hAnsi="Times New Roman" w:cs="Times New Roman"/>
          <w:b/>
          <w:bCs/>
          <w:sz w:val="24"/>
          <w:szCs w:val="24"/>
          <w:lang w:eastAsia="bg-BG"/>
        </w:rPr>
        <w:t>Регулиране на енергийните напитки</w:t>
      </w:r>
      <w:bookmarkEnd w:id="14"/>
      <w:bookmarkEnd w:id="15"/>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При еднократен дневен прием на енергийни напитки се счита, че не съществува риск за здравето. При консумация на две и повече напитки дневно, поради повишен прием чрез тях на кофеин в съчетание с други съставки със стимулиращ ефект са възможни неблагоприятни въздействия върху организма: повишена нервност, тревожност, тремор, безсъние, главоболие, сърцебиене, дихателни нарушения, ерозивни промени на лигавицата на стомашно-чревния тракт, дехидратация, вследствие на загуба на вода и соли от организма. Децата са по-рискова група, поради появата на неблагоприятните ефекти на кофеина при много по-ниски дози, в сравнение с възрастните. Комбинираният прием на енергийни напитки с алкохол и/ или наркотични вещества, крие значителен здравен риск, особено при млади хора, тъй като стимулиращият ефект на енергийните напитки маскира токсичното действие на алкохола и наркотичните вещества. </w:t>
      </w:r>
    </w:p>
    <w:p w:rsidR="00711051" w:rsidRPr="00711051" w:rsidRDefault="00711051" w:rsidP="00711051">
      <w:pPr>
        <w:shd w:val="clear" w:color="auto" w:fill="FFFFFF"/>
        <w:spacing w:after="120" w:line="240" w:lineRule="auto"/>
        <w:ind w:right="1" w:firstLine="708"/>
        <w:outlineLvl w:val="1"/>
        <w:rPr>
          <w:rFonts w:ascii="Times New Roman" w:eastAsia="Times New Roman" w:hAnsi="Times New Roman" w:cs="Times New Roman"/>
          <w:b/>
          <w:bCs/>
          <w:sz w:val="24"/>
          <w:szCs w:val="24"/>
          <w:lang w:eastAsia="bg-BG"/>
        </w:rPr>
      </w:pPr>
      <w:bookmarkStart w:id="16" w:name="_Toc192257000"/>
      <w:bookmarkStart w:id="17" w:name="_Toc196818249"/>
      <w:r w:rsidRPr="00711051">
        <w:rPr>
          <w:rFonts w:ascii="Times New Roman" w:eastAsia="Times New Roman" w:hAnsi="Times New Roman" w:cs="Times New Roman"/>
          <w:b/>
          <w:bCs/>
          <w:sz w:val="24"/>
          <w:szCs w:val="24"/>
          <w:lang w:eastAsia="bg-BG"/>
        </w:rPr>
        <w:t>Здравни рискове, свързани с високата консумация</w:t>
      </w:r>
      <w:bookmarkEnd w:id="16"/>
      <w:bookmarkEnd w:id="17"/>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Поради многообразието от физиологични и психологични ефекти върху организма и консумацията на т. нар. “енергийни” напитки предимно от млади и активно спортуващи лица, съдържащите се в тях ингредиенти през последните години са обект на научни изследвания и оценки. </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През 2009 г. Европейския орган по безопасност на храните представи своето становище относно две биологично активни вещества, често включвани в състава на енергийни напитки: таурин и d-глюкоронолактон. Таурин и d-глюкоронолактон са естествени съставки на храната и са нормални метаболити на обмяната на веществата в организма. При висок прием тауринът е възможно да има неблагоприятни ефекти </w:t>
      </w:r>
      <w:r w:rsidRPr="00711051">
        <w:rPr>
          <w:rFonts w:ascii="Times New Roman" w:eastAsia="Times New Roman" w:hAnsi="Times New Roman" w:cs="Times New Roman"/>
          <w:sz w:val="24"/>
          <w:szCs w:val="24"/>
          <w:shd w:val="clear" w:color="auto" w:fill="FFFFFF"/>
          <w:lang w:eastAsia="bg-BG"/>
        </w:rPr>
        <w:lastRenderedPageBreak/>
        <w:t>основно върху мозъчната дейност, а d-глюкоронолактонът върху дейността на бъбреците. Не са наблюдавани странични вредни въздействия при общ дневен прием за всяка от двете съставки до 1000 мг на кг телесно тегло дневно – количества, които многократно надвишават обичайния им прием с енергийните напитки. Взаимодействието и засилването на ефекта при комбиниран прием, както на кофеин и таурин, свързани с повишен диуретичен ефект и загуба на вода и соли от организма, така и на d-глюконолактон и кофеин, таурин и алкохол в условия на физически натоварвания все още, обаче не са достатъчно проучени, особено при деца и млади хора. </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Експертите на Европейския орган по безопасност на храните считат, че установени остро настъпили здравни проблеми, включително и на фатални последици, се дължат на висока консумация на енергийни напитки (над 1400 мл дневно) при значително физическо натоварване, често и с консумация на алкохол и/ или наркотични вещества. Решаващ фактор за вредното действие на енергийните напитки е високият прием на кофеин. Възможният неблагоприятен ефект от взаимодействието на таурин с други съставки от енергийните напитки все още не е научно доказан. </w:t>
      </w:r>
    </w:p>
    <w:p w:rsidR="00711051" w:rsidRPr="00711051" w:rsidRDefault="00711051" w:rsidP="00711051">
      <w:pPr>
        <w:shd w:val="clear" w:color="auto" w:fill="FFFFFF"/>
        <w:spacing w:after="120" w:line="240" w:lineRule="auto"/>
        <w:ind w:right="1" w:firstLine="708"/>
        <w:outlineLvl w:val="1"/>
        <w:rPr>
          <w:rFonts w:ascii="Times New Roman" w:eastAsia="Times New Roman" w:hAnsi="Times New Roman" w:cs="Times New Roman"/>
          <w:b/>
          <w:bCs/>
          <w:sz w:val="24"/>
          <w:szCs w:val="24"/>
          <w:lang w:eastAsia="bg-BG"/>
        </w:rPr>
      </w:pPr>
      <w:bookmarkStart w:id="18" w:name="_Toc192257001"/>
      <w:bookmarkStart w:id="19" w:name="_Toc196818250"/>
      <w:r w:rsidRPr="00711051">
        <w:rPr>
          <w:rFonts w:ascii="Times New Roman" w:eastAsia="Times New Roman" w:hAnsi="Times New Roman" w:cs="Times New Roman"/>
          <w:b/>
          <w:bCs/>
          <w:sz w:val="24"/>
          <w:szCs w:val="24"/>
          <w:lang w:eastAsia="bg-BG"/>
        </w:rPr>
        <w:t>Производство и предлагане на енергийни напитки</w:t>
      </w:r>
      <w:bookmarkEnd w:id="18"/>
      <w:bookmarkEnd w:id="19"/>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Значителното нарастване на консумацията на енергийни напитки, особено от деца и млади хора, през последните години инициира предприемането на действия за регулиране предлагането и етикетирането на енергийните напитки в много страни от Европейския съюз, САЩ, Канада и др. Популярната напитка „Red Bull” е била забранена за употреба във Франция за период от 12 години след смъртен инцидент със спортист, консумирал 4 бутилки от напитката по време на състезание. В Англия съществуват препоръки за ограничаване приема на енергийни напитки от деца и бременни жени, както и забрана за продажба на енергийни напитки в някои училища на местно ниво. В Германия се обсъжда включването на предупредителен текст при етикетиране на енергийни напитки. Дания предложи на Европейската комисия да регламентира специфични изисквания при етикетиране на енергийните напитки за ограничение количеството на дневен прием при възрастни и деца до 18 год. и забрана на консумацията от деца до 10-годишна възраст и бременни жени, но все още няма предприети специфични регулаторни мерки. Към момента в САЩ също няма законодателно регламентиране на енергийните напитки, но се води широк обществен и научен дебат за специфични изисквания при етикетирането им. </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В България съгласно Наредба № 37 на МЗ от 2009 г. за здравословно хранене на учениците, регламентираща храните и напитките, които могат да се продават в столовете, бюфетите и автоматите за закуски и напитки в училищата не допуска предлагането на енергийни напитки на територията на училищата. </w:t>
      </w:r>
    </w:p>
    <w:p w:rsidR="00711051" w:rsidRPr="00711051" w:rsidRDefault="00711051" w:rsidP="00711051">
      <w:pPr>
        <w:shd w:val="clear" w:color="auto" w:fill="FFFFFF"/>
        <w:spacing w:after="158" w:line="240" w:lineRule="auto"/>
        <w:ind w:firstLine="709"/>
        <w:jc w:val="both"/>
        <w:outlineLvl w:val="2"/>
        <w:rPr>
          <w:rFonts w:ascii="Times New Roman" w:eastAsia="Times New Roman" w:hAnsi="Times New Roman" w:cs="Times New Roman"/>
          <w:b/>
          <w:sz w:val="24"/>
          <w:szCs w:val="24"/>
          <w:shd w:val="clear" w:color="auto" w:fill="FFFFFF"/>
          <w:lang w:eastAsia="bg-BG"/>
        </w:rPr>
      </w:pPr>
      <w:bookmarkStart w:id="20" w:name="_Toc196818251"/>
      <w:r w:rsidRPr="00711051">
        <w:rPr>
          <w:rFonts w:ascii="Times New Roman" w:eastAsia="Times New Roman" w:hAnsi="Times New Roman" w:cs="Times New Roman"/>
          <w:b/>
          <w:sz w:val="24"/>
          <w:szCs w:val="24"/>
          <w:shd w:val="clear" w:color="auto" w:fill="FFFFFF"/>
          <w:lang w:eastAsia="bg-BG"/>
        </w:rPr>
        <w:t>4.3.2. Вреди от употребата на диазотен оксид (райски газ)</w:t>
      </w:r>
      <w:bookmarkEnd w:id="20"/>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Диазотният оксид, известен още като „райски газ“, е открит за първи път през 1772 г. от Джоузеф Пристли (1733-1804) – английски духовник, полиглот и учен. Той прави своето откритие като нагрява амониев нитрат, примесен с железни стружки. Д.Пристли го съхранява за първи път в газообразно състояние и го нарича „флогистиран азотен въздух“. Негови открития са фотосинтезата, кислородът, както и синтезът на хлороводород и амоняк. С основание се смята за един от основоположниците на съвременната химия. През 1794 г., английският лекар Томас Бедоус прави първия опит за използване на диазотен оксид за медицински цели. Докато живее в Хотуелс, той започва работа по проект за създаване на институция за лечение на болести чрез вдишване на различни газове, което той нарича пневматична медицина. През 1799 г. </w:t>
      </w:r>
      <w:r w:rsidRPr="00711051">
        <w:rPr>
          <w:rFonts w:ascii="Times New Roman" w:eastAsia="Times New Roman" w:hAnsi="Times New Roman" w:cs="Times New Roman"/>
          <w:sz w:val="24"/>
          <w:szCs w:val="24"/>
          <w:shd w:val="clear" w:color="auto" w:fill="FFFFFF"/>
          <w:lang w:eastAsia="bg-BG"/>
        </w:rPr>
        <w:lastRenderedPageBreak/>
        <w:t xml:space="preserve">Т.Бедоус създава своя Пневматична институция  на Dowry Square, Hotwells. Негов първи началник в нея е Хъмфри Дейви, който изследва свойствата на диазотния оксид в лабораторията си. Той публикува откритията си през 1800 г., като в труда си подчертава, че „диазотният оксид… явно е способен да притъпява болката и може да бъде използван по време на хирургични операции.“ Британският химик Хъмфри Дейви (1778-1829) отбелязва ободряващите и еуфорични свойства на газа, както и факта, че го кара да се смее. Неговите изследвания допринасят за популярното нарицателно на диазотния оксид „смешен газ“. </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В английското общество се породил интерес към еуфоричните свойства на „смешния газ“. Британските аристократи често организирали партита с употреба на диазотен оксид. В средата на XIX в., лектори, пътуващи из САЩ и Канада, започнали да демонстрират ефектите на диазотния оксид пред публика от доброволци. Един от демонстраторите бил оръжейният конструктор Самюел Колт – създател на първия револвер с автоматично зареждане „Колт 45“.</w:t>
      </w:r>
      <w:r w:rsidRPr="00711051">
        <w:rPr>
          <w:rFonts w:ascii="Calibri" w:eastAsia="Times New Roman" w:hAnsi="Calibri" w:cs="Times New Roman"/>
          <w:lang w:eastAsia="bg-BG"/>
        </w:rPr>
        <w:t xml:space="preserve"> </w:t>
      </w:r>
      <w:r w:rsidRPr="00711051">
        <w:rPr>
          <w:rFonts w:ascii="Times New Roman" w:eastAsia="Times New Roman" w:hAnsi="Times New Roman" w:cs="Times New Roman"/>
          <w:sz w:val="24"/>
          <w:szCs w:val="24"/>
          <w:shd w:val="clear" w:color="auto" w:fill="FFFFFF"/>
          <w:lang w:eastAsia="bg-BG"/>
        </w:rPr>
        <w:t>Твърди се, че чрез приходите от демонстрациите на „райския газ“, той успява да финансира прототипа и  производството му. През 1844г., по време на поредно представление, доброволец си наранява тежко крака. Раната остава незабелязана, докато мъжът бил под въздействието на газа. Тази демонстрация се оказва повратна точка в употребата на диазотния оксид за седиране. Инцидентът е направил впечатление на местен зъболекар, който бил сред публиката – Хорас Уелс (1815-1848). На следващия ден, той извършва експеримент в своя кабинет. Вдишва 100% диазотен оксид и един от неговите асистенти му изважда развален кътник. Забелязва, че докато е под влиянието на газа, не усеща никаква болка, въпреки че остава в пълно съзнание. Това е първата употреба на „райски газ“ като упойка. Х.Уелс продължава да прилага диазотен оксид и решава да демонстрира ефектите му пред обучаващите се в Харвардското училище по медицина, в Масачузетс. За съжаление, при един от пациентите му нямало нужния обезболяващ ефект и демонстрацията претърпяла провал. Това довело до накърняване на професионалната му репутация и до отлив на желаещи да бъдат упоявани с „райски газ“. Три години по-късно той се самоубива. Хорас Уелс се смята за „баща“ на анестезията.</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Диазотният оксид е химично съединение с формула: N</w:t>
      </w:r>
      <w:r w:rsidRPr="00711051">
        <w:rPr>
          <w:rFonts w:ascii="Times New Roman" w:eastAsia="Times New Roman" w:hAnsi="Times New Roman" w:cs="Times New Roman"/>
          <w:sz w:val="24"/>
          <w:szCs w:val="24"/>
          <w:shd w:val="clear" w:color="auto" w:fill="FFFFFF"/>
          <w:vertAlign w:val="subscript"/>
          <w:lang w:eastAsia="bg-BG"/>
        </w:rPr>
        <w:t>2</w:t>
      </w:r>
      <w:r w:rsidRPr="00711051">
        <w:rPr>
          <w:rFonts w:ascii="Times New Roman" w:eastAsia="Times New Roman" w:hAnsi="Times New Roman" w:cs="Times New Roman"/>
          <w:sz w:val="24"/>
          <w:szCs w:val="24"/>
          <w:shd w:val="clear" w:color="auto" w:fill="FFFFFF"/>
          <w:lang w:eastAsia="bg-BG"/>
        </w:rPr>
        <w:t>O. При нормални условия представлява безцветен, незапалим газ, със сладникав мирис и вкус. При вдишване предизвиква чувство на еуфория, което е причина и за името „райски газ“. Използва се в хирургията и денталната медицина, заради своя анестетичен и аналгетичен ефект. Друго негово приложение е като окислител в ракетните двигатели и при двигателите с вътрешно горене – добавен към горивото, увеличава мощността им. По време на Втората световна война, той се е използвал за повишаване на продуктивността на самолетните двигатели. Намира приложение и в хранителната индустрия, като пропелент при някои видове аерозолни контейнери – най-често бита сметана (отбелязван и като E942). Пропелент е всеки газ, течност или твърдо вещество, чието разширение може да се използва за придаване на движение на друго вещество или предмет, напр. в аерозолни дозатори.</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Диазотният оксид се среща и в атмосферата. Той е третият по важност дългоживеещ парников газ (разрушава озоновия слой) и се явява една от причините за глобалното затопляне. Изчислено е, че 30% от неговото съдържание в атмосферата се дължи на човешката дейност (употребата на азотни торове в селското стопанство). Естествените емисии пък са резултат от дейността на микроорганизмите в почвите и океаните, както и от топенето на пермафроста в арктически условия. В стратосферата N</w:t>
      </w:r>
      <w:r w:rsidRPr="00711051">
        <w:rPr>
          <w:rFonts w:ascii="Times New Roman" w:eastAsia="Times New Roman" w:hAnsi="Times New Roman" w:cs="Times New Roman"/>
          <w:sz w:val="24"/>
          <w:szCs w:val="24"/>
          <w:shd w:val="clear" w:color="auto" w:fill="FFFFFF"/>
          <w:vertAlign w:val="subscript"/>
          <w:lang w:eastAsia="bg-BG"/>
        </w:rPr>
        <w:t>2</w:t>
      </w:r>
      <w:r w:rsidRPr="00711051">
        <w:rPr>
          <w:rFonts w:ascii="Times New Roman" w:eastAsia="Times New Roman" w:hAnsi="Times New Roman" w:cs="Times New Roman"/>
          <w:sz w:val="24"/>
          <w:szCs w:val="24"/>
          <w:shd w:val="clear" w:color="auto" w:fill="FFFFFF"/>
          <w:lang w:eastAsia="bg-BG"/>
        </w:rPr>
        <w:t>O може да се окисли до азотна киселина и да се стигне до образуването на киселинни дъждове.</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b/>
          <w:sz w:val="24"/>
          <w:szCs w:val="24"/>
          <w:shd w:val="clear" w:color="auto" w:fill="FFFFFF"/>
          <w:lang w:eastAsia="bg-BG"/>
        </w:rPr>
      </w:pPr>
      <w:r w:rsidRPr="00711051">
        <w:rPr>
          <w:rFonts w:ascii="Times New Roman" w:eastAsia="Times New Roman" w:hAnsi="Times New Roman" w:cs="Times New Roman"/>
          <w:b/>
          <w:sz w:val="24"/>
          <w:szCs w:val="24"/>
          <w:shd w:val="clear" w:color="auto" w:fill="FFFFFF"/>
          <w:lang w:eastAsia="bg-BG"/>
        </w:rPr>
        <w:lastRenderedPageBreak/>
        <w:t>„Райски газ“ – ползи и вреди</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N</w:t>
      </w:r>
      <w:r w:rsidRPr="00711051">
        <w:rPr>
          <w:rFonts w:ascii="Times New Roman" w:eastAsia="Times New Roman" w:hAnsi="Times New Roman" w:cs="Times New Roman"/>
          <w:sz w:val="24"/>
          <w:szCs w:val="24"/>
          <w:shd w:val="clear" w:color="auto" w:fill="FFFFFF"/>
          <w:vertAlign w:val="subscript"/>
          <w:lang w:eastAsia="bg-BG"/>
        </w:rPr>
        <w:t>2</w:t>
      </w:r>
      <w:r w:rsidRPr="00711051">
        <w:rPr>
          <w:rFonts w:ascii="Times New Roman" w:eastAsia="Times New Roman" w:hAnsi="Times New Roman" w:cs="Times New Roman"/>
          <w:sz w:val="24"/>
          <w:szCs w:val="24"/>
          <w:shd w:val="clear" w:color="auto" w:fill="FFFFFF"/>
          <w:lang w:eastAsia="bg-BG"/>
        </w:rPr>
        <w:t>O се прилага чрез вдишване, абсорбира се чрез дифузия през белите дробове и се излъчва чрез издишване. Елиминационният полуживот на диазотния оксид е приблизително 5 минути. Той се излъчва, почти непроменен, през белите дробове – по-малко от 0,004% се метаболизира при хората. „Райски газ“ се използва като анестетик по време на различни операции, но в комбинация с O</w:t>
      </w:r>
      <w:r w:rsidRPr="00711051">
        <w:rPr>
          <w:rFonts w:ascii="Times New Roman" w:eastAsia="Times New Roman" w:hAnsi="Times New Roman" w:cs="Times New Roman"/>
          <w:sz w:val="24"/>
          <w:szCs w:val="24"/>
          <w:shd w:val="clear" w:color="auto" w:fill="FFFFFF"/>
          <w:vertAlign w:val="subscript"/>
          <w:lang w:eastAsia="bg-BG"/>
        </w:rPr>
        <w:t>2</w:t>
      </w:r>
      <w:r w:rsidRPr="00711051">
        <w:rPr>
          <w:rFonts w:ascii="Times New Roman" w:eastAsia="Times New Roman" w:hAnsi="Times New Roman" w:cs="Times New Roman"/>
          <w:sz w:val="24"/>
          <w:szCs w:val="24"/>
          <w:shd w:val="clear" w:color="auto" w:fill="FFFFFF"/>
          <w:lang w:eastAsia="bg-BG"/>
        </w:rPr>
        <w:t xml:space="preserve"> – диазотният оксид е от 30% до 70% в аерозолната смес. Използва се за облекчаване на болката – при раждане, травма, остър коронарен синдром; за индукция с маска при обща анестезия. Eфектът на диазотния оксид престава веднага след елиминирането му от организма. Една от главните причини за вредата на N</w:t>
      </w:r>
      <w:r w:rsidRPr="00711051">
        <w:rPr>
          <w:rFonts w:ascii="Times New Roman" w:eastAsia="Times New Roman" w:hAnsi="Times New Roman" w:cs="Times New Roman"/>
          <w:sz w:val="16"/>
          <w:szCs w:val="16"/>
          <w:shd w:val="clear" w:color="auto" w:fill="FFFFFF"/>
          <w:lang w:eastAsia="bg-BG"/>
        </w:rPr>
        <w:t>2</w:t>
      </w:r>
      <w:r w:rsidRPr="00711051">
        <w:rPr>
          <w:rFonts w:ascii="Times New Roman" w:eastAsia="Times New Roman" w:hAnsi="Times New Roman" w:cs="Times New Roman"/>
          <w:sz w:val="24"/>
          <w:szCs w:val="24"/>
          <w:shd w:val="clear" w:color="auto" w:fill="FFFFFF"/>
          <w:lang w:eastAsia="bg-BG"/>
        </w:rPr>
        <w:t>O, като инхалант е, че в медицината използваният газ е смес от „райски газ“ и кислород, докато в масово продаваните флакони се съдържа 100% диазотен оксид. Докато трае вдишването от балона, пълен с газ, до мозъка не достига никакъв кислород, което може да доведе до безсъзнание и мозъчни увреждания. В прекомерно висока концентрация (над 56 обемни % във вдишваната смес) той измества кислорода от местата на свързване в хемоглобина. Това води до остър недостиг на кислород към мозъка. Точно тук се крие и големият риск при употребата с райски газ.</w:t>
      </w:r>
      <w:r w:rsidRPr="00711051">
        <w:rPr>
          <w:rFonts w:ascii="Calibri" w:eastAsia="Times New Roman" w:hAnsi="Calibri" w:cs="Times New Roman"/>
          <w:lang w:eastAsia="bg-BG"/>
        </w:rPr>
        <w:t xml:space="preserve"> </w:t>
      </w:r>
      <w:r w:rsidRPr="00711051">
        <w:rPr>
          <w:rFonts w:ascii="Times New Roman" w:eastAsia="Times New Roman" w:hAnsi="Times New Roman" w:cs="Times New Roman"/>
          <w:sz w:val="24"/>
          <w:szCs w:val="24"/>
          <w:shd w:val="clear" w:color="auto" w:fill="FFFFFF"/>
          <w:lang w:eastAsia="bg-BG"/>
        </w:rPr>
        <w:t>Вдишването само на N</w:t>
      </w:r>
      <w:r w:rsidRPr="00711051">
        <w:rPr>
          <w:rFonts w:ascii="Times New Roman" w:eastAsia="Times New Roman" w:hAnsi="Times New Roman" w:cs="Times New Roman"/>
          <w:sz w:val="16"/>
          <w:szCs w:val="16"/>
          <w:shd w:val="clear" w:color="auto" w:fill="FFFFFF"/>
          <w:lang w:eastAsia="bg-BG"/>
        </w:rPr>
        <w:t>2</w:t>
      </w:r>
      <w:r w:rsidRPr="00711051">
        <w:rPr>
          <w:rFonts w:ascii="Times New Roman" w:eastAsia="Times New Roman" w:hAnsi="Times New Roman" w:cs="Times New Roman"/>
          <w:sz w:val="24"/>
          <w:szCs w:val="24"/>
          <w:shd w:val="clear" w:color="auto" w:fill="FFFFFF"/>
          <w:lang w:eastAsia="bg-BG"/>
        </w:rPr>
        <w:t>O води до мозъчна хипоксия и риск от трайна увреда на мозъка!</w:t>
      </w:r>
      <w:r w:rsidRPr="00711051">
        <w:rPr>
          <w:rFonts w:ascii="Calibri" w:eastAsia="Times New Roman" w:hAnsi="Calibri" w:cs="Times New Roman"/>
          <w:lang w:eastAsia="bg-BG"/>
        </w:rPr>
        <w:t xml:space="preserve"> </w:t>
      </w:r>
      <w:r w:rsidRPr="00711051">
        <w:rPr>
          <w:rFonts w:ascii="Times New Roman" w:eastAsia="Times New Roman" w:hAnsi="Times New Roman" w:cs="Times New Roman"/>
          <w:sz w:val="24"/>
          <w:szCs w:val="24"/>
          <w:shd w:val="clear" w:color="auto" w:fill="FFFFFF"/>
          <w:lang w:eastAsia="bg-BG"/>
        </w:rPr>
        <w:t>При вдишване на газа, директно от флакона, може да се получи измръзване на устата, носа и устната кухина, тъй като при излизане на газа от контейнера и неговото разширяване, се отнема температура от околната среда. Затова най-често се вдишва с помощта на балони, пълни с N</w:t>
      </w:r>
      <w:r w:rsidRPr="00711051">
        <w:rPr>
          <w:rFonts w:ascii="Times New Roman" w:eastAsia="Times New Roman" w:hAnsi="Times New Roman" w:cs="Times New Roman"/>
          <w:sz w:val="16"/>
          <w:szCs w:val="16"/>
          <w:shd w:val="clear" w:color="auto" w:fill="FFFFFF"/>
          <w:lang w:eastAsia="bg-BG"/>
        </w:rPr>
        <w:t>2</w:t>
      </w:r>
      <w:r w:rsidRPr="00711051">
        <w:rPr>
          <w:rFonts w:ascii="Times New Roman" w:eastAsia="Times New Roman" w:hAnsi="Times New Roman" w:cs="Times New Roman"/>
          <w:sz w:val="24"/>
          <w:szCs w:val="24"/>
          <w:shd w:val="clear" w:color="auto" w:fill="FFFFFF"/>
          <w:lang w:eastAsia="bg-BG"/>
        </w:rPr>
        <w:t>O.</w:t>
      </w:r>
    </w:p>
    <w:p w:rsidR="00711051" w:rsidRPr="00711051" w:rsidRDefault="00711051" w:rsidP="00711051">
      <w:pPr>
        <w:shd w:val="clear" w:color="auto" w:fill="FFFFFF"/>
        <w:spacing w:after="60" w:line="240" w:lineRule="auto"/>
        <w:ind w:right="1" w:firstLine="708"/>
        <w:jc w:val="both"/>
        <w:rPr>
          <w:rFonts w:ascii="Times New Roman" w:eastAsia="Times New Roman" w:hAnsi="Times New Roman" w:cs="Times New Roman"/>
          <w:b/>
          <w:sz w:val="24"/>
          <w:szCs w:val="24"/>
          <w:shd w:val="clear" w:color="auto" w:fill="FFFFFF"/>
          <w:lang w:eastAsia="bg-BG"/>
        </w:rPr>
      </w:pPr>
      <w:r w:rsidRPr="00711051">
        <w:rPr>
          <w:rFonts w:ascii="Times New Roman" w:eastAsia="Times New Roman" w:hAnsi="Times New Roman" w:cs="Times New Roman"/>
          <w:b/>
          <w:i/>
          <w:iCs/>
          <w:sz w:val="24"/>
          <w:szCs w:val="24"/>
          <w:shd w:val="clear" w:color="auto" w:fill="FFFFFF"/>
          <w:lang w:eastAsia="bg-BG"/>
        </w:rPr>
        <w:t>При употребата на N</w:t>
      </w:r>
      <w:r w:rsidRPr="00711051">
        <w:rPr>
          <w:rFonts w:ascii="Times New Roman" w:eastAsia="Times New Roman" w:hAnsi="Times New Roman" w:cs="Times New Roman"/>
          <w:b/>
          <w:i/>
          <w:iCs/>
          <w:sz w:val="24"/>
          <w:szCs w:val="24"/>
          <w:shd w:val="clear" w:color="auto" w:fill="FFFFFF"/>
          <w:vertAlign w:val="subscript"/>
          <w:lang w:eastAsia="bg-BG"/>
        </w:rPr>
        <w:t>2</w:t>
      </w:r>
      <w:r w:rsidRPr="00711051">
        <w:rPr>
          <w:rFonts w:ascii="Times New Roman" w:eastAsia="Times New Roman" w:hAnsi="Times New Roman" w:cs="Times New Roman"/>
          <w:b/>
          <w:i/>
          <w:iCs/>
          <w:sz w:val="24"/>
          <w:szCs w:val="24"/>
          <w:shd w:val="clear" w:color="auto" w:fill="FFFFFF"/>
          <w:lang w:eastAsia="bg-BG"/>
        </w:rPr>
        <w:t>O, могат да се усетят почти веднага, в продължение на няколко минути, следните ефекти:</w:t>
      </w:r>
    </w:p>
    <w:p w:rsidR="00711051" w:rsidRPr="00711051" w:rsidRDefault="00711051" w:rsidP="00711051">
      <w:pPr>
        <w:numPr>
          <w:ilvl w:val="0"/>
          <w:numId w:val="13"/>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еуфория, неконтролируем смях;</w:t>
      </w:r>
    </w:p>
    <w:p w:rsidR="00711051" w:rsidRPr="00711051" w:rsidRDefault="00711051" w:rsidP="00711051">
      <w:pPr>
        <w:numPr>
          <w:ilvl w:val="0"/>
          <w:numId w:val="13"/>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седация и намалена чувствителност към болка;</w:t>
      </w:r>
    </w:p>
    <w:p w:rsidR="00711051" w:rsidRPr="00711051" w:rsidRDefault="00711051" w:rsidP="00711051">
      <w:pPr>
        <w:numPr>
          <w:ilvl w:val="0"/>
          <w:numId w:val="13"/>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дезориентация и объркване; </w:t>
      </w:r>
    </w:p>
    <w:p w:rsidR="00711051" w:rsidRPr="00711051" w:rsidRDefault="00711051" w:rsidP="00711051">
      <w:pPr>
        <w:numPr>
          <w:ilvl w:val="0"/>
          <w:numId w:val="13"/>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зрителни и слухови халюцинации; </w:t>
      </w:r>
    </w:p>
    <w:p w:rsidR="00711051" w:rsidRPr="00711051" w:rsidRDefault="00711051" w:rsidP="00711051">
      <w:pPr>
        <w:numPr>
          <w:ilvl w:val="0"/>
          <w:numId w:val="13"/>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замаяност и/или световъртеж;</w:t>
      </w:r>
    </w:p>
    <w:p w:rsidR="00711051" w:rsidRPr="00711051" w:rsidRDefault="00711051" w:rsidP="00711051">
      <w:pPr>
        <w:numPr>
          <w:ilvl w:val="0"/>
          <w:numId w:val="13"/>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влошена координация, липса на баланс и загуба на равновесие; </w:t>
      </w:r>
    </w:p>
    <w:p w:rsidR="00711051" w:rsidRPr="00711051" w:rsidRDefault="00711051" w:rsidP="00711051">
      <w:pPr>
        <w:numPr>
          <w:ilvl w:val="0"/>
          <w:numId w:val="13"/>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гадене и повръщане;</w:t>
      </w:r>
    </w:p>
    <w:p w:rsidR="00711051" w:rsidRPr="00711051" w:rsidRDefault="00711051" w:rsidP="00711051">
      <w:pPr>
        <w:numPr>
          <w:ilvl w:val="0"/>
          <w:numId w:val="13"/>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замъглено виждане; </w:t>
      </w:r>
    </w:p>
    <w:p w:rsidR="00711051" w:rsidRPr="00711051" w:rsidRDefault="00711051" w:rsidP="00711051">
      <w:pPr>
        <w:numPr>
          <w:ilvl w:val="0"/>
          <w:numId w:val="13"/>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мускулни спазми;</w:t>
      </w:r>
    </w:p>
    <w:p w:rsidR="00711051" w:rsidRPr="00711051" w:rsidRDefault="00711051" w:rsidP="00711051">
      <w:pPr>
        <w:numPr>
          <w:ilvl w:val="0"/>
          <w:numId w:val="13"/>
        </w:num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чувство на умора и слабост</w:t>
      </w:r>
    </w:p>
    <w:p w:rsidR="00711051" w:rsidRPr="00711051" w:rsidRDefault="00711051" w:rsidP="00711051">
      <w:pPr>
        <w:shd w:val="clear" w:color="auto" w:fill="FFFFFF"/>
        <w:spacing w:after="60" w:line="240" w:lineRule="auto"/>
        <w:ind w:right="1" w:firstLine="708"/>
        <w:jc w:val="both"/>
        <w:rPr>
          <w:rFonts w:ascii="Times New Roman" w:eastAsia="Times New Roman" w:hAnsi="Times New Roman" w:cs="Times New Roman"/>
          <w:b/>
          <w:sz w:val="24"/>
          <w:szCs w:val="24"/>
          <w:shd w:val="clear" w:color="auto" w:fill="FFFFFF"/>
          <w:lang w:eastAsia="bg-BG"/>
        </w:rPr>
      </w:pPr>
      <w:r w:rsidRPr="00711051">
        <w:rPr>
          <w:rFonts w:ascii="Times New Roman" w:eastAsia="Times New Roman" w:hAnsi="Times New Roman" w:cs="Times New Roman"/>
          <w:b/>
          <w:i/>
          <w:iCs/>
          <w:sz w:val="24"/>
          <w:szCs w:val="24"/>
          <w:shd w:val="clear" w:color="auto" w:fill="FFFFFF"/>
          <w:lang w:eastAsia="bg-BG"/>
        </w:rPr>
        <w:t>Прекомерната употреба на райски газ, с развлекателна цел, може да доведе до редица здравословни проблеми:</w:t>
      </w:r>
    </w:p>
    <w:p w:rsidR="00711051" w:rsidRPr="00711051" w:rsidRDefault="00711051" w:rsidP="00711051">
      <w:pPr>
        <w:numPr>
          <w:ilvl w:val="0"/>
          <w:numId w:val="14"/>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дефицит на витамин В12 – анемия, изтръпване на крайниците, тремор, затруднения при ходене и загуба на равновесие, мускулна атрофия;</w:t>
      </w:r>
    </w:p>
    <w:p w:rsidR="00711051" w:rsidRPr="00711051" w:rsidRDefault="00711051" w:rsidP="00711051">
      <w:pPr>
        <w:numPr>
          <w:ilvl w:val="0"/>
          <w:numId w:val="14"/>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отслабване на имунната система;</w:t>
      </w:r>
    </w:p>
    <w:p w:rsidR="00711051" w:rsidRPr="00711051" w:rsidRDefault="00711051" w:rsidP="00711051">
      <w:pPr>
        <w:numPr>
          <w:ilvl w:val="0"/>
          <w:numId w:val="14"/>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възпаление на гласните струни;</w:t>
      </w:r>
    </w:p>
    <w:p w:rsidR="00711051" w:rsidRPr="00711051" w:rsidRDefault="00711051" w:rsidP="00711051">
      <w:pPr>
        <w:numPr>
          <w:ilvl w:val="0"/>
          <w:numId w:val="14"/>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депресия, тревожност или психоза (риск от автоагресия – самоубийство);</w:t>
      </w:r>
    </w:p>
    <w:p w:rsidR="00711051" w:rsidRPr="00711051" w:rsidRDefault="00711051" w:rsidP="00711051">
      <w:pPr>
        <w:numPr>
          <w:ilvl w:val="0"/>
          <w:numId w:val="14"/>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спазъм на трахеята, астматичен пристъп;</w:t>
      </w:r>
    </w:p>
    <w:p w:rsidR="00711051" w:rsidRPr="00711051" w:rsidRDefault="00711051" w:rsidP="00711051">
      <w:pPr>
        <w:numPr>
          <w:ilvl w:val="0"/>
          <w:numId w:val="14"/>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промени в сърдечния ритъм, миокарден инфаркт;</w:t>
      </w:r>
    </w:p>
    <w:p w:rsidR="00711051" w:rsidRPr="00711051" w:rsidRDefault="00711051" w:rsidP="00711051">
      <w:pPr>
        <w:numPr>
          <w:ilvl w:val="0"/>
          <w:numId w:val="14"/>
        </w:numPr>
        <w:shd w:val="clear" w:color="auto" w:fill="FFFFFF"/>
        <w:spacing w:after="60"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гърчове;</w:t>
      </w:r>
    </w:p>
    <w:p w:rsidR="00711051" w:rsidRPr="00711051" w:rsidRDefault="00711051" w:rsidP="00711051">
      <w:pPr>
        <w:numPr>
          <w:ilvl w:val="0"/>
          <w:numId w:val="14"/>
        </w:num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увреждане на слуха и зрението;</w:t>
      </w:r>
    </w:p>
    <w:p w:rsidR="00711051" w:rsidRPr="00711051" w:rsidRDefault="00711051" w:rsidP="00711051">
      <w:pPr>
        <w:numPr>
          <w:ilvl w:val="0"/>
          <w:numId w:val="14"/>
        </w:num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зависимост към ПАВ</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lastRenderedPageBreak/>
        <w:t>Диазотен оксид се предлага на пазара, за целите на хранителната промишленост, под формата на капсули, флакони и бутилки. Капсулите за бита сметана са пълнители, които се използват в сладкарството и за приготвяне на газирани напитки с въглероден диоксид. Това е и причината те да се продават легално. Пълнителите, така наречените „патрони“, се прикрепят към сифон, който, когато не е пълен с течност, не възпроизвежда сметана, а изпуска газ. Така се пълнят балоните, от които се вдишва N</w:t>
      </w:r>
      <w:r w:rsidRPr="00711051">
        <w:rPr>
          <w:rFonts w:ascii="Times New Roman" w:eastAsia="Times New Roman" w:hAnsi="Times New Roman" w:cs="Times New Roman"/>
          <w:sz w:val="24"/>
          <w:szCs w:val="24"/>
          <w:shd w:val="clear" w:color="auto" w:fill="FFFFFF"/>
          <w:vertAlign w:val="subscript"/>
          <w:lang w:eastAsia="bg-BG"/>
        </w:rPr>
        <w:t>2</w:t>
      </w:r>
      <w:r w:rsidRPr="00711051">
        <w:rPr>
          <w:rFonts w:ascii="Times New Roman" w:eastAsia="Times New Roman" w:hAnsi="Times New Roman" w:cs="Times New Roman"/>
          <w:sz w:val="24"/>
          <w:szCs w:val="24"/>
          <w:shd w:val="clear" w:color="auto" w:fill="FFFFFF"/>
          <w:lang w:eastAsia="bg-BG"/>
        </w:rPr>
        <w:t>O. Ефектът е сравнително краткотраен, в сравнение с другите наркотици.  В</w:t>
      </w:r>
      <w:r w:rsidRPr="00711051">
        <w:rPr>
          <w:rFonts w:ascii="Times New Roman" w:eastAsia="Times New Roman" w:hAnsi="Times New Roman" w:cs="Times New Roman"/>
          <w:i/>
          <w:iCs/>
          <w:sz w:val="24"/>
          <w:szCs w:val="24"/>
          <w:shd w:val="clear" w:color="auto" w:fill="FFFFFF"/>
          <w:lang w:eastAsia="bg-BG"/>
        </w:rPr>
        <w:t xml:space="preserve"> „Закон за здравето“ </w:t>
      </w:r>
      <w:r w:rsidRPr="00711051">
        <w:rPr>
          <w:rFonts w:ascii="Times New Roman" w:eastAsia="Times New Roman" w:hAnsi="Times New Roman" w:cs="Times New Roman"/>
          <w:sz w:val="24"/>
          <w:szCs w:val="24"/>
          <w:shd w:val="clear" w:color="auto" w:fill="FFFFFF"/>
          <w:lang w:eastAsia="bg-BG"/>
        </w:rPr>
        <w:t>се</w:t>
      </w:r>
      <w:r w:rsidRPr="00711051">
        <w:rPr>
          <w:rFonts w:ascii="Times New Roman" w:eastAsia="Times New Roman" w:hAnsi="Times New Roman" w:cs="Times New Roman"/>
          <w:i/>
          <w:iCs/>
          <w:sz w:val="24"/>
          <w:szCs w:val="24"/>
          <w:shd w:val="clear" w:color="auto" w:fill="FFFFFF"/>
          <w:lang w:eastAsia="bg-BG"/>
        </w:rPr>
        <w:t xml:space="preserve"> </w:t>
      </w:r>
      <w:r w:rsidRPr="00711051">
        <w:rPr>
          <w:rFonts w:ascii="Times New Roman" w:eastAsia="Times New Roman" w:hAnsi="Times New Roman" w:cs="Times New Roman"/>
          <w:sz w:val="24"/>
          <w:szCs w:val="24"/>
          <w:shd w:val="clear" w:color="auto" w:fill="FFFFFF"/>
          <w:lang w:eastAsia="bg-BG"/>
        </w:rPr>
        <w:t>забранява продажбата на N</w:t>
      </w:r>
      <w:r w:rsidRPr="00711051">
        <w:rPr>
          <w:rFonts w:ascii="Times New Roman" w:eastAsia="Times New Roman" w:hAnsi="Times New Roman" w:cs="Times New Roman"/>
          <w:sz w:val="24"/>
          <w:szCs w:val="24"/>
          <w:shd w:val="clear" w:color="auto" w:fill="FFFFFF"/>
          <w:vertAlign w:val="subscript"/>
          <w:lang w:eastAsia="bg-BG"/>
        </w:rPr>
        <w:t>2</w:t>
      </w:r>
      <w:r w:rsidRPr="00711051">
        <w:rPr>
          <w:rFonts w:ascii="Times New Roman" w:eastAsia="Times New Roman" w:hAnsi="Times New Roman" w:cs="Times New Roman"/>
          <w:sz w:val="24"/>
          <w:szCs w:val="24"/>
          <w:shd w:val="clear" w:color="auto" w:fill="FFFFFF"/>
          <w:lang w:eastAsia="bg-BG"/>
        </w:rPr>
        <w:t>O и на пълнители с него, включително и онлайн (</w:t>
      </w:r>
      <w:r w:rsidRPr="00711051">
        <w:rPr>
          <w:rFonts w:ascii="Times New Roman" w:eastAsia="Times New Roman" w:hAnsi="Times New Roman" w:cs="Times New Roman"/>
          <w:i/>
          <w:sz w:val="24"/>
          <w:szCs w:val="24"/>
          <w:shd w:val="clear" w:color="auto" w:fill="FFFFFF"/>
          <w:lang w:eastAsia="bg-BG"/>
        </w:rPr>
        <w:t>чл. 54а</w:t>
      </w:r>
      <w:r w:rsidRPr="00711051">
        <w:rPr>
          <w:rFonts w:ascii="Times New Roman" w:eastAsia="Times New Roman" w:hAnsi="Times New Roman" w:cs="Times New Roman"/>
          <w:sz w:val="24"/>
          <w:szCs w:val="24"/>
          <w:shd w:val="clear" w:color="auto" w:fill="FFFFFF"/>
          <w:lang w:eastAsia="bg-BG"/>
        </w:rPr>
        <w:t xml:space="preserve">): </w:t>
      </w:r>
    </w:p>
    <w:p w:rsidR="00711051" w:rsidRPr="00711051" w:rsidRDefault="00711051" w:rsidP="00711051">
      <w:pPr>
        <w:numPr>
          <w:ilvl w:val="0"/>
          <w:numId w:val="15"/>
        </w:num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на физически лица, извън случаите на еднолични търговци, чийто предмет на дейност включва продажбата на диазотен оксид (райски газ) на търговци, по смисъла на Търговския закон;</w:t>
      </w:r>
    </w:p>
    <w:p w:rsidR="00711051" w:rsidRPr="00711051" w:rsidRDefault="00711051" w:rsidP="00711051">
      <w:pPr>
        <w:numPr>
          <w:ilvl w:val="0"/>
          <w:numId w:val="15"/>
        </w:num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на територията на детските градини, училищата, общежитията за ученици, лечебните заведения;</w:t>
      </w:r>
    </w:p>
    <w:p w:rsidR="00711051" w:rsidRPr="00711051" w:rsidRDefault="00711051" w:rsidP="00711051">
      <w:pPr>
        <w:numPr>
          <w:ilvl w:val="0"/>
          <w:numId w:val="15"/>
        </w:num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на спортни прояви, организирани за деца и ученици;</w:t>
      </w:r>
    </w:p>
    <w:p w:rsidR="00711051" w:rsidRPr="00711051" w:rsidRDefault="00711051" w:rsidP="00711051">
      <w:pPr>
        <w:numPr>
          <w:ilvl w:val="0"/>
          <w:numId w:val="15"/>
        </w:num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на обществени мероприятия, организирани за деца и ученици;</w:t>
      </w:r>
    </w:p>
    <w:p w:rsidR="00711051" w:rsidRPr="00711051" w:rsidRDefault="00711051" w:rsidP="00711051">
      <w:pPr>
        <w:numPr>
          <w:ilvl w:val="0"/>
          <w:numId w:val="15"/>
        </w:num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в закритите обществени места, с изключение продажбата за медицински цели и в случаите по чл. 78а от „Закон за храните“. </w:t>
      </w: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r w:rsidRPr="00711051">
        <w:rPr>
          <w:rFonts w:ascii="Calibri" w:eastAsia="Times New Roman" w:hAnsi="Calibri" w:cs="Times New Roman"/>
          <w:noProof/>
          <w:lang w:eastAsia="bg-BG"/>
        </w:rPr>
        <mc:AlternateContent>
          <mc:Choice Requires="wps">
            <w:drawing>
              <wp:anchor distT="0" distB="0" distL="114300" distR="114300" simplePos="0" relativeHeight="251664384" behindDoc="0" locked="0" layoutInCell="1" allowOverlap="1" wp14:anchorId="732869C3" wp14:editId="706E64C8">
                <wp:simplePos x="0" y="0"/>
                <wp:positionH relativeFrom="column">
                  <wp:posOffset>52705</wp:posOffset>
                </wp:positionH>
                <wp:positionV relativeFrom="paragraph">
                  <wp:posOffset>139065</wp:posOffset>
                </wp:positionV>
                <wp:extent cx="6149340" cy="335280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3352800"/>
                        </a:xfrm>
                        <a:prstGeom prst="rect">
                          <a:avLst/>
                        </a:prstGeom>
                        <a:solidFill>
                          <a:srgbClr val="5B9BD5"/>
                        </a:solidFill>
                        <a:ln w="12700" cap="flat" cmpd="sng" algn="ctr">
                          <a:solidFill>
                            <a:srgbClr val="5B9BD5">
                              <a:shade val="50000"/>
                            </a:srgbClr>
                          </a:solidFill>
                          <a:prstDash val="solid"/>
                          <a:miter lim="800000"/>
                        </a:ln>
                        <a:effectLst/>
                      </wps:spPr>
                      <wps:txbx>
                        <w:txbxContent>
                          <w:p w:rsidR="00711051" w:rsidRPr="00B445DD" w:rsidRDefault="00711051" w:rsidP="00711051">
                            <w:pPr>
                              <w:jc w:val="both"/>
                              <w:rPr>
                                <w:i/>
                                <w:iCs/>
                                <w:color w:val="000000"/>
                              </w:rPr>
                            </w:pPr>
                            <w:r w:rsidRPr="00B445DD">
                              <w:rPr>
                                <w:i/>
                                <w:iCs/>
                                <w:color w:val="000000"/>
                              </w:rPr>
                              <w:t>Из Закона за здравето:</w:t>
                            </w:r>
                          </w:p>
                          <w:p w:rsidR="00711051" w:rsidRPr="00B445DD" w:rsidRDefault="00711051" w:rsidP="00711051">
                            <w:pPr>
                              <w:jc w:val="both"/>
                              <w:rPr>
                                <w:i/>
                                <w:color w:val="000000"/>
                              </w:rPr>
                            </w:pPr>
                            <w:r w:rsidRPr="00B445DD">
                              <w:rPr>
                                <w:i/>
                                <w:iCs/>
                                <w:color w:val="000000"/>
                              </w:rPr>
                              <w:t xml:space="preserve">Чл. 55а </w:t>
                            </w:r>
                            <w:r w:rsidRPr="00B445DD">
                              <w:rPr>
                                <w:i/>
                                <w:color w:val="000000"/>
                              </w:rPr>
                              <w:t>(1) Забранява се рекламата на диазотен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rsidR="00711051" w:rsidRPr="00B445DD" w:rsidRDefault="00711051" w:rsidP="00711051">
                            <w:pPr>
                              <w:jc w:val="both"/>
                              <w:rPr>
                                <w:i/>
                                <w:color w:val="000000"/>
                              </w:rPr>
                            </w:pPr>
                            <w:r w:rsidRPr="00B445DD">
                              <w:rPr>
                                <w:i/>
                                <w:iCs/>
                                <w:color w:val="000000"/>
                              </w:rPr>
                              <w:t xml:space="preserve">Чл. 56а </w:t>
                            </w:r>
                            <w:r w:rsidRPr="00B445DD">
                              <w:rPr>
                                <w:i/>
                                <w:color w:val="000000"/>
                              </w:rPr>
                              <w:t>(2) Забранява се употребата на диазотен оксид (райски газ) на откритите обществени места по ал. 1, т. 1 – 3:</w:t>
                            </w:r>
                          </w:p>
                          <w:p w:rsidR="00711051" w:rsidRPr="00B445DD" w:rsidRDefault="00711051" w:rsidP="00711051">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rsidR="00711051" w:rsidRPr="00B445DD" w:rsidRDefault="00711051" w:rsidP="00711051">
                            <w:pPr>
                              <w:ind w:firstLine="708"/>
                              <w:rPr>
                                <w:i/>
                                <w:color w:val="000000"/>
                              </w:rPr>
                            </w:pPr>
                            <w:r w:rsidRPr="00B445DD">
                              <w:rPr>
                                <w:i/>
                                <w:color w:val="000000"/>
                              </w:rPr>
                              <w:t>2. площадките за игра;</w:t>
                            </w:r>
                          </w:p>
                          <w:p w:rsidR="00711051" w:rsidRPr="00B445DD" w:rsidRDefault="00711051" w:rsidP="00711051">
                            <w:pPr>
                              <w:ind w:firstLine="708"/>
                              <w:rPr>
                                <w:i/>
                                <w:color w:val="000000"/>
                              </w:rPr>
                            </w:pPr>
                            <w:r w:rsidRPr="00B445DD">
                              <w:rPr>
                                <w:i/>
                                <w:color w:val="000000"/>
                              </w:rPr>
                              <w:t>3. на които са организирани мероприятия за деца и ученици.</w:t>
                            </w:r>
                          </w:p>
                          <w:p w:rsidR="00711051" w:rsidRPr="00B445DD" w:rsidRDefault="00711051" w:rsidP="00711051">
                            <w:pPr>
                              <w:jc w:val="both"/>
                              <w:rPr>
                                <w:i/>
                                <w:color w:val="000000"/>
                              </w:rPr>
                            </w:pPr>
                            <w:r w:rsidRPr="00B445DD">
                              <w:rPr>
                                <w:i/>
                                <w:color w:val="000000"/>
                              </w:rPr>
                              <w:t>(3) Забранява се употребата на диазотен оксид (райски газ) в закритите обществени места, с изключение употребата за медицински цели и в случаите по чл. 78а от „Закон за храните“.</w:t>
                            </w:r>
                          </w:p>
                          <w:p w:rsidR="00711051" w:rsidRDefault="00711051" w:rsidP="007110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69C3" id="Rectangle 38" o:spid="_x0000_s1033" style="position:absolute;left:0;text-align:left;margin-left:4.15pt;margin-top:10.95pt;width:484.2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" fillcolor="#5b9bd5" strokecolor="#41719c" strokeweight="1pt">
                <v:path arrowok="t"/>
                <v:textbox>
                  <w:txbxContent>
                    <w:p w:rsidR="00711051" w:rsidRPr="00B445DD" w:rsidRDefault="00711051" w:rsidP="00711051">
                      <w:pPr>
                        <w:jc w:val="both"/>
                        <w:rPr>
                          <w:i/>
                          <w:iCs/>
                          <w:color w:val="000000"/>
                        </w:rPr>
                      </w:pPr>
                      <w:r w:rsidRPr="00B445DD">
                        <w:rPr>
                          <w:i/>
                          <w:iCs/>
                          <w:color w:val="000000"/>
                        </w:rPr>
                        <w:t>Из Закона за здравето:</w:t>
                      </w:r>
                    </w:p>
                    <w:p w:rsidR="00711051" w:rsidRPr="00B445DD" w:rsidRDefault="00711051" w:rsidP="00711051">
                      <w:pPr>
                        <w:jc w:val="both"/>
                        <w:rPr>
                          <w:i/>
                          <w:color w:val="000000"/>
                        </w:rPr>
                      </w:pPr>
                      <w:r w:rsidRPr="00B445DD">
                        <w:rPr>
                          <w:i/>
                          <w:iCs/>
                          <w:color w:val="000000"/>
                        </w:rPr>
                        <w:t xml:space="preserve">Чл. 55а </w:t>
                      </w:r>
                      <w:r w:rsidRPr="00B445DD">
                        <w:rPr>
                          <w:i/>
                          <w:color w:val="000000"/>
                        </w:rPr>
                        <w:t>(1) Забранява се рекламата на диазотен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rsidR="00711051" w:rsidRPr="00B445DD" w:rsidRDefault="00711051" w:rsidP="00711051">
                      <w:pPr>
                        <w:jc w:val="both"/>
                        <w:rPr>
                          <w:i/>
                          <w:color w:val="000000"/>
                        </w:rPr>
                      </w:pPr>
                      <w:r w:rsidRPr="00B445DD">
                        <w:rPr>
                          <w:i/>
                          <w:iCs/>
                          <w:color w:val="000000"/>
                        </w:rPr>
                        <w:t xml:space="preserve">Чл. 56а </w:t>
                      </w:r>
                      <w:r w:rsidRPr="00B445DD">
                        <w:rPr>
                          <w:i/>
                          <w:color w:val="000000"/>
                        </w:rPr>
                        <w:t>(2) Забранява се употребата на диазотен оксид (райски газ) на откритите обществени места по ал. 1, т. 1 – 3:</w:t>
                      </w:r>
                    </w:p>
                    <w:p w:rsidR="00711051" w:rsidRPr="00B445DD" w:rsidRDefault="00711051" w:rsidP="00711051">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rsidR="00711051" w:rsidRPr="00B445DD" w:rsidRDefault="00711051" w:rsidP="00711051">
                      <w:pPr>
                        <w:ind w:firstLine="708"/>
                        <w:rPr>
                          <w:i/>
                          <w:color w:val="000000"/>
                        </w:rPr>
                      </w:pPr>
                      <w:r w:rsidRPr="00B445DD">
                        <w:rPr>
                          <w:i/>
                          <w:color w:val="000000"/>
                        </w:rPr>
                        <w:t>2. площадките за игра;</w:t>
                      </w:r>
                    </w:p>
                    <w:p w:rsidR="00711051" w:rsidRPr="00B445DD" w:rsidRDefault="00711051" w:rsidP="00711051">
                      <w:pPr>
                        <w:ind w:firstLine="708"/>
                        <w:rPr>
                          <w:i/>
                          <w:color w:val="000000"/>
                        </w:rPr>
                      </w:pPr>
                      <w:r w:rsidRPr="00B445DD">
                        <w:rPr>
                          <w:i/>
                          <w:color w:val="000000"/>
                        </w:rPr>
                        <w:t>3. на които са организирани мероприятия за деца и ученици.</w:t>
                      </w:r>
                    </w:p>
                    <w:p w:rsidR="00711051" w:rsidRPr="00B445DD" w:rsidRDefault="00711051" w:rsidP="00711051">
                      <w:pPr>
                        <w:jc w:val="both"/>
                        <w:rPr>
                          <w:i/>
                          <w:color w:val="000000"/>
                        </w:rPr>
                      </w:pPr>
                      <w:r w:rsidRPr="00B445DD">
                        <w:rPr>
                          <w:i/>
                          <w:color w:val="000000"/>
                        </w:rPr>
                        <w:t>(3) Забранява се употребата на диазотен оксид (райски газ) в закритите обществени места, с изключение употребата за медицински цели и в случаите по чл. 78а от „Закон за храните“.</w:t>
                      </w:r>
                    </w:p>
                    <w:p w:rsidR="00711051" w:rsidRDefault="00711051" w:rsidP="00711051">
                      <w:pPr>
                        <w:jc w:val="center"/>
                      </w:pPr>
                    </w:p>
                  </w:txbxContent>
                </v:textbox>
              </v:rect>
            </w:pict>
          </mc:Fallback>
        </mc:AlternateContent>
      </w: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hd w:val="clear" w:color="auto" w:fill="FFFFFF"/>
        <w:spacing w:after="158" w:line="240" w:lineRule="auto"/>
        <w:ind w:right="1"/>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pacing w:before="120" w:after="120" w:line="336" w:lineRule="auto"/>
        <w:ind w:right="1"/>
        <w:rPr>
          <w:rFonts w:ascii="Times New Roman" w:eastAsia="Times New Roman" w:hAnsi="Times New Roman" w:cs="Times New Roman"/>
          <w:lang w:eastAsia="bg-BG"/>
        </w:rPr>
      </w:pPr>
    </w:p>
    <w:p w:rsidR="00711051" w:rsidRPr="00711051" w:rsidRDefault="00711051" w:rsidP="00711051">
      <w:pPr>
        <w:spacing w:before="120" w:after="120" w:line="336" w:lineRule="auto"/>
        <w:ind w:right="1"/>
        <w:rPr>
          <w:rFonts w:ascii="Times New Roman" w:eastAsia="Times New Roman" w:hAnsi="Times New Roman" w:cs="Times New Roman"/>
          <w:sz w:val="24"/>
          <w:szCs w:val="24"/>
          <w:lang w:eastAsia="bg-BG"/>
        </w:rPr>
      </w:pPr>
    </w:p>
    <w:p w:rsidR="00711051" w:rsidRPr="00711051" w:rsidRDefault="00711051" w:rsidP="00711051">
      <w:pPr>
        <w:spacing w:before="120" w:after="120"/>
        <w:ind w:right="1"/>
        <w:jc w:val="center"/>
        <w:rPr>
          <w:rFonts w:ascii="Times New Roman" w:eastAsia="Times New Roman" w:hAnsi="Times New Roman" w:cs="Times New Roman"/>
          <w:sz w:val="24"/>
          <w:szCs w:val="24"/>
          <w:lang w:eastAsia="bg-BG"/>
        </w:rPr>
      </w:pPr>
      <w:r w:rsidRPr="00711051">
        <w:rPr>
          <w:rFonts w:ascii="Times New Roman" w:eastAsia="Times New Roman" w:hAnsi="Times New Roman" w:cs="Times New Roman"/>
          <w:noProof/>
          <w:sz w:val="24"/>
          <w:szCs w:val="24"/>
          <w:lang w:eastAsia="bg-BG"/>
        </w:rPr>
        <w:lastRenderedPageBreak/>
        <w:drawing>
          <wp:inline distT="0" distB="0" distL="0" distR="0" wp14:anchorId="561D521A" wp14:editId="3DE39C9E">
            <wp:extent cx="5753100" cy="1737360"/>
            <wp:effectExtent l="0" t="0" r="0" b="0"/>
            <wp:docPr id="8" name="Picture 20"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rsidR="00711051" w:rsidRPr="00711051" w:rsidRDefault="00711051" w:rsidP="00711051">
      <w:pPr>
        <w:spacing w:before="120" w:after="120" w:line="336" w:lineRule="auto"/>
        <w:ind w:left="-567" w:right="1"/>
        <w:rPr>
          <w:rFonts w:ascii="Times New Roman" w:eastAsia="Times New Roman" w:hAnsi="Times New Roman" w:cs="Times New Roman"/>
          <w:sz w:val="24"/>
          <w:szCs w:val="24"/>
          <w:lang w:eastAsia="bg-BG"/>
        </w:rPr>
      </w:pPr>
      <w:r w:rsidRPr="00711051">
        <w:rPr>
          <w:rFonts w:ascii="Times New Roman" w:eastAsia="Rubik Light" w:hAnsi="Times New Roman" w:cs="Times New Roman"/>
          <w:color w:val="000000"/>
          <w:sz w:val="24"/>
          <w:szCs w:val="24"/>
          <w:lang w:eastAsia="bg-BG"/>
        </w:rPr>
        <w:t xml:space="preserve"> </w:t>
      </w:r>
    </w:p>
    <w:p w:rsidR="00711051" w:rsidRPr="00711051" w:rsidRDefault="00711051" w:rsidP="00711051">
      <w:pPr>
        <w:spacing w:before="120" w:after="120" w:line="336" w:lineRule="auto"/>
        <w:outlineLvl w:val="0"/>
        <w:rPr>
          <w:rFonts w:ascii="Times New Roman" w:eastAsia="Times New Roman" w:hAnsi="Times New Roman" w:cs="Times New Roman"/>
          <w:sz w:val="24"/>
          <w:szCs w:val="24"/>
          <w:lang w:eastAsia="bg-BG"/>
        </w:rPr>
      </w:pPr>
      <w:bookmarkStart w:id="21" w:name="_Toc196818252"/>
      <w:r w:rsidRPr="00711051">
        <w:rPr>
          <w:rFonts w:ascii="Times New Roman" w:eastAsia="Old Standard" w:hAnsi="Times New Roman" w:cs="Times New Roman"/>
          <w:color w:val="8A663F"/>
          <w:sz w:val="24"/>
          <w:szCs w:val="24"/>
          <w:lang w:eastAsia="bg-BG"/>
        </w:rPr>
        <w:t>РАЗДЕЛ 5</w:t>
      </w:r>
      <w:bookmarkEnd w:id="21"/>
    </w:p>
    <w:p w:rsidR="00711051" w:rsidRPr="00711051" w:rsidRDefault="00711051" w:rsidP="00711051">
      <w:pPr>
        <w:spacing w:before="120" w:after="120" w:line="336" w:lineRule="auto"/>
        <w:jc w:val="both"/>
        <w:outlineLvl w:val="0"/>
        <w:rPr>
          <w:rFonts w:ascii="Times New Roman" w:eastAsia="Times New Roman" w:hAnsi="Times New Roman" w:cs="Times New Roman"/>
          <w:b/>
          <w:sz w:val="24"/>
          <w:szCs w:val="24"/>
          <w:lang w:eastAsia="bg-BG"/>
        </w:rPr>
      </w:pPr>
      <w:bookmarkStart w:id="22" w:name="_Toc196818253"/>
      <w:r w:rsidRPr="00711051">
        <w:rPr>
          <w:rFonts w:ascii="Times New Roman" w:eastAsia="Times New Roman" w:hAnsi="Times New Roman" w:cs="Times New Roman"/>
          <w:b/>
          <w:sz w:val="24"/>
          <w:szCs w:val="24"/>
          <w:lang w:eastAsia="bg-BG"/>
        </w:rPr>
        <w:t>СПЕЦИАЛИЗИРАНА ЗАКРИЛА НА ДЕЦА В ТЪРГОВСКИ ОБЕКТИ, СПОРТНИ ОБЕКТИ И В ОНЛАЙН ПРОСТРАНСТВОТО</w:t>
      </w:r>
      <w:bookmarkEnd w:id="22"/>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711051" w:rsidRPr="00711051" w:rsidTr="00693D09">
        <w:tc>
          <w:tcPr>
            <w:tcW w:w="10118" w:type="dxa"/>
            <w:shd w:val="clear" w:color="auto" w:fill="FFFBF5"/>
            <w:tcMar>
              <w:top w:w="180" w:type="dxa"/>
              <w:left w:w="180" w:type="dxa"/>
              <w:bottom w:w="180" w:type="dxa"/>
              <w:right w:w="180" w:type="dxa"/>
            </w:tcMar>
          </w:tcPr>
          <w:p w:rsidR="00711051" w:rsidRPr="00711051" w:rsidRDefault="00711051" w:rsidP="00711051">
            <w:pPr>
              <w:ind w:left="567"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Какво трябва да се знае?</w:t>
            </w:r>
          </w:p>
          <w:p w:rsidR="00711051" w:rsidRPr="00711051" w:rsidRDefault="00711051" w:rsidP="00711051">
            <w:pPr>
              <w:ind w:left="567"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На какво да се акцентира?</w:t>
            </w:r>
          </w:p>
          <w:p w:rsidR="00711051" w:rsidRPr="00711051" w:rsidRDefault="00711051" w:rsidP="00711051">
            <w:pPr>
              <w:spacing w:before="120" w:after="120" w:line="336" w:lineRule="auto"/>
              <w:ind w:left="-38" w:right="1" w:firstLine="3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sz w:val="24"/>
                <w:szCs w:val="24"/>
                <w:lang w:eastAsia="bg-BG"/>
              </w:rPr>
              <w:t xml:space="preserve">         Общи рискове за децата</w:t>
            </w:r>
          </w:p>
        </w:tc>
      </w:tr>
    </w:tbl>
    <w:p w:rsidR="00711051" w:rsidRPr="00711051" w:rsidRDefault="00711051" w:rsidP="00711051">
      <w:pPr>
        <w:spacing w:before="120" w:after="120" w:line="336" w:lineRule="auto"/>
        <w:ind w:right="1"/>
        <w:rPr>
          <w:rFonts w:ascii="Times New Roman" w:eastAsia="Times New Roman" w:hAnsi="Times New Roman" w:cs="Times New Roman"/>
          <w:sz w:val="24"/>
          <w:szCs w:val="24"/>
          <w:lang w:eastAsia="bg-BG"/>
        </w:rPr>
      </w:pPr>
      <w:r w:rsidRPr="00711051">
        <w:rPr>
          <w:rFonts w:ascii="Times New Roman" w:eastAsia="Rubik Light" w:hAnsi="Times New Roman" w:cs="Times New Roman"/>
          <w:color w:val="000000"/>
          <w:sz w:val="24"/>
          <w:szCs w:val="24"/>
          <w:lang w:eastAsia="bg-BG"/>
        </w:rPr>
        <w:t xml:space="preserve"> </w:t>
      </w:r>
    </w:p>
    <w:p w:rsidR="00711051" w:rsidRPr="00711051" w:rsidRDefault="00711051" w:rsidP="00711051">
      <w:pPr>
        <w:jc w:val="both"/>
        <w:outlineLvl w:val="1"/>
        <w:rPr>
          <w:rFonts w:ascii="Times New Roman" w:eastAsia="Open Sans Bold" w:hAnsi="Times New Roman" w:cs="Times New Roman"/>
          <w:b/>
          <w:bCs/>
          <w:color w:val="1A62FF"/>
          <w:sz w:val="24"/>
          <w:szCs w:val="24"/>
          <w:u w:val="single" w:color="1A62FF"/>
          <w:lang w:eastAsia="bg-BG"/>
        </w:rPr>
      </w:pPr>
      <w:bookmarkStart w:id="23" w:name="_Toc196818254"/>
      <w:r w:rsidRPr="00711051">
        <w:rPr>
          <w:rFonts w:ascii="Times New Roman" w:eastAsia="Open Sans Bold" w:hAnsi="Times New Roman" w:cs="Times New Roman"/>
          <w:b/>
          <w:bCs/>
          <w:color w:val="1A62FF"/>
          <w:sz w:val="24"/>
          <w:szCs w:val="24"/>
          <w:highlight w:val="lightGray"/>
          <w:u w:val="single" w:color="1A62FF"/>
          <w:lang w:eastAsia="bg-BG"/>
        </w:rPr>
        <w:t>5.1. Специализирана закрила в МОЛ-ве</w:t>
      </w:r>
      <w:bookmarkEnd w:id="23"/>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Търговските обекти и по-специално от вида МОЛ са достъпни за много лица едновременно, което предполага струпване на хора на едно място, включително деца, като придружаването им от възрастен е гаранция за тяхната сигурност. </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Предвидено е изискване в Наредбата за специализирана закрила на деца на обществени места</w:t>
      </w:r>
      <w:r w:rsidRPr="00711051">
        <w:rPr>
          <w:rFonts w:ascii="Times New Roman" w:eastAsia="Times New Roman" w:hAnsi="Times New Roman" w:cs="Times New Roman"/>
          <w:sz w:val="24"/>
          <w:szCs w:val="24"/>
          <w:shd w:val="clear" w:color="auto" w:fill="FFFFFF"/>
          <w:vertAlign w:val="superscript"/>
          <w:lang w:eastAsia="bg-BG"/>
        </w:rPr>
        <w:footnoteReference w:id="10"/>
      </w:r>
      <w:r w:rsidRPr="00711051">
        <w:rPr>
          <w:rFonts w:ascii="Times New Roman" w:eastAsia="Times New Roman" w:hAnsi="Times New Roman" w:cs="Times New Roman"/>
          <w:sz w:val="24"/>
          <w:szCs w:val="24"/>
          <w:shd w:val="clear" w:color="auto" w:fill="FFFFFF"/>
          <w:lang w:eastAsia="bg-BG"/>
        </w:rPr>
        <w:t xml:space="preserve"> за собствениците, наемателите или ползвателите на търговски обекти, кина и театри, които определят конкретните условия за достъп на деца в тях и контролират тяхното изпълнение в съответствие с целта на специализираната закрила, да поставят на видно място за клиентите, на входните места, табло с информация за изискванията за придружаване на деца на обществени места, включително за изискването за представяне на декларацията по образец, както и да публикуват тази информация и на поддържаните интернет платформи. Предвижда се, че не следва в обектите да се допускат лица, придружаващи деца след 22,00 часа, без представянето на декларация. </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В случаите на придружаване на непълнолетно лице от пълнолетно дееспособно лице за придружител след 22.00 часа, съгласието на родителя, попечителя, другото лице, което полага грижи за детето, и на придружителя се удостоверява с декларация по образец съгласно приложение № 2. Малолетните лица до 14-годишна възраст се придружават задължително само от своите родители, настойници, други лица, които полагат грижи за дете след 20.00 часа. Родителите, настойниците или другите лица, които </w:t>
      </w:r>
      <w:r w:rsidRPr="00711051">
        <w:rPr>
          <w:rFonts w:ascii="Times New Roman" w:eastAsia="Times New Roman" w:hAnsi="Times New Roman" w:cs="Times New Roman"/>
          <w:sz w:val="24"/>
          <w:szCs w:val="24"/>
          <w:shd w:val="clear" w:color="auto" w:fill="FFFFFF"/>
          <w:lang w:eastAsia="bg-BG"/>
        </w:rPr>
        <w:lastRenderedPageBreak/>
        <w:t>полагат грижи за дете, са длъжни да не оставят без надзор и грижа децата до 12-годишна възраст, ако с това се създава опасност за тяхното физическо, психическо и нравствено развитие, като това изискване е относимо без оглед на часовото време на денонощието.</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При извършване на охранителната дейност в търговските обекти, изпълнителите на частна охранителна дейност на основание Закона за частната охранителна дейност</w:t>
      </w:r>
      <w:r w:rsidRPr="00711051">
        <w:rPr>
          <w:rFonts w:ascii="Times New Roman" w:eastAsia="Times New Roman" w:hAnsi="Times New Roman" w:cs="Times New Roman"/>
          <w:sz w:val="24"/>
          <w:szCs w:val="24"/>
          <w:shd w:val="clear" w:color="auto" w:fill="FFFFFF"/>
          <w:vertAlign w:val="superscript"/>
          <w:lang w:eastAsia="bg-BG"/>
        </w:rPr>
        <w:footnoteReference w:id="11"/>
      </w:r>
      <w:r w:rsidRPr="00711051">
        <w:rPr>
          <w:rFonts w:ascii="Times New Roman" w:eastAsia="Times New Roman" w:hAnsi="Times New Roman" w:cs="Times New Roman"/>
          <w:sz w:val="24"/>
          <w:szCs w:val="24"/>
          <w:shd w:val="clear" w:color="auto" w:fill="FFFFFF"/>
          <w:lang w:eastAsia="bg-BG"/>
        </w:rPr>
        <w:t xml:space="preserve"> осигуряват спазването на пропускателния режим за влизане и излизане в обекта, както и на вътрешния ред в него. Охранителите имат правомощия да проверяват документите за самоличност на външни лица и служебните пропуски на работещите; както и на проверка на багажа, включително чрез ръчен металотърсач и металдетекторна рамка, на моторните превозни средства и/или товара им, както и на съпроводителните им документи. В обектите може да бъде поставено и постоянно видеонаблюдение, което се извършва съобразно изискванията за защита на личните данни. На информационни табла, поставени на видно място, гражданите се уведомяват за използването на технически средства за наблюдение и контрол.</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Когато се констатира нарушение на установения пропускателен режим или на правилата за вътрешния ред в охранявания обект при извършване на охрана, изпълнителите на частна охранителна дейност незабавно уведомяват за това ръководителя си и отразяват нарушението в дневника за приемане и предаване на дежурството.</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При данни за извършващо се или извършено престъпление изпълнителите на частна охранителна дейност незабавно уведомяват полицейските органи. Охранителният състав на едноличния търговец или юридическото лице задържа лице в района на охранявания обект:</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1. при извършване на престъпление или непосредствено след извършването му в района на охранявания обект;</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2. когато с действията си лицето създава опасност за живота или здравето на намиращите се в района на охранявания обект лица, на персонално охраняваното лице или уврежда охраняваното имущество.</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След задържането на лицето незабавно се уведомяват полицейските органи по местонахождение на обекта и се изпълняват техните разпореждания. </w:t>
      </w:r>
    </w:p>
    <w:p w:rsidR="00711051" w:rsidRPr="00711051" w:rsidRDefault="00711051" w:rsidP="00711051">
      <w:pPr>
        <w:shd w:val="clear" w:color="auto" w:fill="FFFFFF"/>
        <w:spacing w:after="158" w:line="240" w:lineRule="auto"/>
        <w:ind w:right="1" w:firstLine="708"/>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jc w:val="both"/>
        <w:outlineLvl w:val="1"/>
        <w:rPr>
          <w:rFonts w:ascii="Times New Roman" w:eastAsia="Open Sans Bold" w:hAnsi="Times New Roman" w:cs="Times New Roman"/>
          <w:b/>
          <w:bCs/>
          <w:color w:val="1A62FF"/>
          <w:sz w:val="24"/>
          <w:szCs w:val="24"/>
          <w:u w:val="single" w:color="1A62FF"/>
          <w:lang w:eastAsia="bg-BG"/>
        </w:rPr>
      </w:pPr>
      <w:bookmarkStart w:id="24" w:name="_Toc196818255"/>
      <w:r w:rsidRPr="00711051">
        <w:rPr>
          <w:rFonts w:ascii="Times New Roman" w:eastAsia="Open Sans Bold" w:hAnsi="Times New Roman" w:cs="Times New Roman"/>
          <w:b/>
          <w:bCs/>
          <w:color w:val="1A62FF"/>
          <w:sz w:val="24"/>
          <w:szCs w:val="24"/>
          <w:highlight w:val="lightGray"/>
          <w:u w:val="single" w:color="1A62FF"/>
          <w:lang w:eastAsia="bg-BG"/>
        </w:rPr>
        <w:t>5.2. Специализирана закрила на стадиони и при спортни мероприятия</w:t>
      </w:r>
      <w:bookmarkEnd w:id="24"/>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Не се допускат на стадиони и при организиран спортни мероприятия:</w:t>
      </w:r>
    </w:p>
    <w:p w:rsidR="00711051" w:rsidRPr="00711051" w:rsidRDefault="00711051" w:rsidP="00711051">
      <w:pPr>
        <w:numPr>
          <w:ilvl w:val="0"/>
          <w:numId w:val="16"/>
        </w:numPr>
        <w:spacing w:after="0" w:line="240" w:lineRule="auto"/>
        <w:ind w:left="993" w:right="1" w:hanging="426"/>
        <w:contextualSpacing/>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Малолетни лица, които не са придружени от родител, настойник или друго лице, което полага грижи за детето, или от лице с педагогическо образование, в случаите на организирано посещение от учебни заведения или спортни организации;</w:t>
      </w:r>
    </w:p>
    <w:p w:rsidR="00711051" w:rsidRPr="00711051" w:rsidRDefault="00711051" w:rsidP="00711051">
      <w:pPr>
        <w:numPr>
          <w:ilvl w:val="0"/>
          <w:numId w:val="16"/>
        </w:numPr>
        <w:spacing w:after="0" w:line="240" w:lineRule="auto"/>
        <w:ind w:left="993" w:right="1" w:hanging="426"/>
        <w:contextualSpacing/>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Непълнолетни лица до 16 години, които не са придружени от родител, попечител, друго лице, което полага грижи за детето, или от пълнолетен дееспособен придружител, когато спортното мероприятие завършва след 22 часа;</w:t>
      </w:r>
    </w:p>
    <w:p w:rsidR="00711051" w:rsidRPr="00711051" w:rsidRDefault="00711051" w:rsidP="00711051">
      <w:pPr>
        <w:numPr>
          <w:ilvl w:val="0"/>
          <w:numId w:val="16"/>
        </w:numPr>
        <w:spacing w:after="0" w:line="240" w:lineRule="auto"/>
        <w:ind w:left="993" w:right="1" w:hanging="426"/>
        <w:contextualSpacing/>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Лица с наложена принудителна административна мярка забрана за посещение на спортни мероприятия в страната и в чужбина;</w:t>
      </w: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lastRenderedPageBreak/>
        <w:t>В случаите на придружаване на малолетно или непълнолетно лице до 16 години съгласието на родителя, настойника, попечителя, другото лице, което полага грижи за детето, и на придружителя се удостоверява с декларация по образец съгласно приложение № 2</w:t>
      </w:r>
      <w:r w:rsidRPr="00711051">
        <w:rPr>
          <w:rFonts w:ascii="Times New Roman" w:eastAsia="Times New Roman" w:hAnsi="Times New Roman" w:cs="Times New Roman"/>
          <w:sz w:val="24"/>
          <w:szCs w:val="24"/>
          <w:shd w:val="clear" w:color="auto" w:fill="FFFFFF"/>
          <w:vertAlign w:val="superscript"/>
          <w:lang w:eastAsia="bg-BG"/>
        </w:rPr>
        <w:footnoteReference w:id="12"/>
      </w:r>
      <w:r w:rsidRPr="00711051">
        <w:rPr>
          <w:rFonts w:ascii="Times New Roman" w:eastAsia="Times New Roman" w:hAnsi="Times New Roman" w:cs="Times New Roman"/>
          <w:sz w:val="24"/>
          <w:szCs w:val="24"/>
          <w:shd w:val="clear" w:color="auto" w:fill="FFFFFF"/>
          <w:lang w:eastAsia="bg-BG"/>
        </w:rPr>
        <w:t>.</w:t>
      </w: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Едно пълнолетно дееспособно лице може да бъде придружител на не повече от три деца до 16 години, освен в случаите на организирано посещение от учебни заведения или спортни организации и в случаите, в които е родител, настойник, попечител или друго лице, което полага грижи за децата.</w:t>
      </w: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Calibri" w:eastAsia="Times New Roman" w:hAnsi="Calibri" w:cs="Times New Roman"/>
          <w:noProof/>
          <w:lang w:eastAsia="bg-BG"/>
        </w:rPr>
        <mc:AlternateContent>
          <mc:Choice Requires="wps">
            <w:drawing>
              <wp:anchor distT="0" distB="0" distL="114300" distR="114300" simplePos="0" relativeHeight="251665408" behindDoc="0" locked="0" layoutInCell="1" allowOverlap="1" wp14:anchorId="5FFC25D3" wp14:editId="6743F3FB">
                <wp:simplePos x="0" y="0"/>
                <wp:positionH relativeFrom="column">
                  <wp:posOffset>22225</wp:posOffset>
                </wp:positionH>
                <wp:positionV relativeFrom="paragraph">
                  <wp:posOffset>97790</wp:posOffset>
                </wp:positionV>
                <wp:extent cx="6172200" cy="13335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333500"/>
                        </a:xfrm>
                        <a:prstGeom prst="rect">
                          <a:avLst/>
                        </a:prstGeom>
                        <a:solidFill>
                          <a:srgbClr val="5B9BD5"/>
                        </a:solidFill>
                        <a:ln w="12700" cap="flat" cmpd="sng" algn="ctr">
                          <a:solidFill>
                            <a:srgbClr val="5B9BD5">
                              <a:shade val="50000"/>
                            </a:srgbClr>
                          </a:solidFill>
                          <a:prstDash val="solid"/>
                          <a:miter lim="800000"/>
                        </a:ln>
                        <a:effectLst/>
                      </wps:spPr>
                      <wps:txbx>
                        <w:txbxContent>
                          <w:p w:rsidR="00711051" w:rsidRPr="00B445DD" w:rsidRDefault="00711051" w:rsidP="00711051">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C25D3" id="Rectangle 13" o:spid="_x0000_s1034" style="position:absolute;left:0;text-align:left;margin-left:1.75pt;margin-top:7.7pt;width:486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" fillcolor="#5b9bd5" strokecolor="#41719c" strokeweight="1pt">
                <v:path arrowok="t"/>
                <v:textbox>
                  <w:txbxContent>
                    <w:p w:rsidR="00711051" w:rsidRPr="00B445DD" w:rsidRDefault="00711051" w:rsidP="00711051">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v:textbox>
              </v:rect>
            </w:pict>
          </mc:Fallback>
        </mc:AlternateContent>
      </w: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pacing w:line="240" w:lineRule="auto"/>
        <w:ind w:right="1" w:firstLine="567"/>
        <w:jc w:val="both"/>
        <w:rPr>
          <w:rFonts w:ascii="Times New Roman" w:eastAsia="Times New Roman" w:hAnsi="Times New Roman" w:cs="Times New Roman"/>
          <w:b/>
          <w:sz w:val="24"/>
          <w:szCs w:val="24"/>
          <w:shd w:val="clear" w:color="auto" w:fill="FFFFFF"/>
          <w:lang w:eastAsia="bg-BG"/>
        </w:rPr>
      </w:pPr>
    </w:p>
    <w:p w:rsidR="00711051" w:rsidRPr="00711051" w:rsidRDefault="00711051" w:rsidP="00711051">
      <w:pPr>
        <w:spacing w:line="240" w:lineRule="auto"/>
        <w:ind w:right="1" w:firstLine="567"/>
        <w:jc w:val="both"/>
        <w:rPr>
          <w:rFonts w:ascii="Times New Roman" w:eastAsia="Times New Roman" w:hAnsi="Times New Roman" w:cs="Times New Roman"/>
          <w:b/>
          <w:sz w:val="24"/>
          <w:szCs w:val="24"/>
          <w:shd w:val="clear" w:color="auto" w:fill="FFFFFF"/>
          <w:lang w:eastAsia="bg-BG"/>
        </w:rPr>
      </w:pPr>
    </w:p>
    <w:p w:rsidR="00711051" w:rsidRPr="00711051" w:rsidRDefault="00711051" w:rsidP="00711051">
      <w:pPr>
        <w:spacing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b/>
          <w:sz w:val="24"/>
          <w:szCs w:val="24"/>
          <w:shd w:val="clear" w:color="auto" w:fill="FFFFFF"/>
          <w:lang w:eastAsia="bg-BG"/>
        </w:rPr>
        <w:t>Изисквания:</w:t>
      </w:r>
      <w:r w:rsidRPr="00711051">
        <w:rPr>
          <w:rFonts w:ascii="Times New Roman" w:eastAsia="Times New Roman" w:hAnsi="Times New Roman" w:cs="Times New Roman"/>
          <w:sz w:val="24"/>
          <w:szCs w:val="24"/>
          <w:shd w:val="clear" w:color="auto" w:fill="FFFFFF"/>
          <w:lang w:eastAsia="bg-BG"/>
        </w:rPr>
        <w:t xml:space="preserve"> Закон за тютюна, тютюневите и свързаните с тях изделия – чл.30, ал.2, т.2 - Забраняват се предлагането и продажбата на тютюневи и свързани с тях изделия на спортни прояви и обществени мероприятия, организирани за деца и ученици. </w:t>
      </w:r>
    </w:p>
    <w:p w:rsidR="00711051" w:rsidRPr="00711051" w:rsidRDefault="00711051" w:rsidP="00711051">
      <w:pPr>
        <w:jc w:val="both"/>
        <w:outlineLvl w:val="1"/>
        <w:rPr>
          <w:rFonts w:ascii="Times New Roman" w:eastAsia="Open Sans Bold" w:hAnsi="Times New Roman" w:cs="Times New Roman"/>
          <w:b/>
          <w:bCs/>
          <w:color w:val="1A62FF"/>
          <w:sz w:val="24"/>
          <w:szCs w:val="24"/>
          <w:u w:val="single" w:color="1A62FF"/>
          <w:lang w:eastAsia="bg-BG"/>
        </w:rPr>
      </w:pPr>
      <w:bookmarkStart w:id="25" w:name="_Toc196818256"/>
      <w:r w:rsidRPr="00711051">
        <w:rPr>
          <w:rFonts w:ascii="Times New Roman" w:eastAsia="Open Sans Bold" w:hAnsi="Times New Roman" w:cs="Times New Roman"/>
          <w:b/>
          <w:bCs/>
          <w:color w:val="1A62FF"/>
          <w:sz w:val="24"/>
          <w:szCs w:val="24"/>
          <w:highlight w:val="lightGray"/>
          <w:u w:val="single" w:color="1A62FF"/>
          <w:lang w:eastAsia="bg-BG"/>
        </w:rPr>
        <w:t>5.3. Правила за безопасност на децата и учениците в компютърната мрежа в детската градина, училището и в интернет</w:t>
      </w:r>
      <w:bookmarkEnd w:id="25"/>
    </w:p>
    <w:p w:rsidR="00711051" w:rsidRPr="00711051" w:rsidRDefault="00711051" w:rsidP="00711051">
      <w:pPr>
        <w:widowControl w:val="0"/>
        <w:tabs>
          <w:tab w:val="left" w:pos="142"/>
        </w:tabs>
        <w:spacing w:after="0" w:line="240" w:lineRule="auto"/>
        <w:ind w:right="1" w:firstLine="709"/>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Целите на правилата</w:t>
      </w:r>
      <w:r w:rsidRPr="00711051">
        <w:rPr>
          <w:rFonts w:ascii="Times New Roman" w:eastAsia="Times New Roman" w:hAnsi="Times New Roman" w:cs="Times New Roman"/>
          <w:sz w:val="24"/>
          <w:szCs w:val="24"/>
          <w:vertAlign w:val="superscript"/>
          <w:lang w:eastAsia="bg-BG"/>
        </w:rPr>
        <w:footnoteReference w:id="13"/>
      </w:r>
      <w:r w:rsidRPr="00711051">
        <w:rPr>
          <w:rFonts w:ascii="Times New Roman" w:eastAsia="Times New Roman" w:hAnsi="Times New Roman" w:cs="Times New Roman"/>
          <w:sz w:val="24"/>
          <w:szCs w:val="24"/>
          <w:lang w:eastAsia="bg-BG"/>
        </w:rPr>
        <w:t xml:space="preserve"> са да се:</w:t>
      </w:r>
    </w:p>
    <w:p w:rsidR="00711051" w:rsidRPr="00711051" w:rsidRDefault="00711051" w:rsidP="00711051">
      <w:pPr>
        <w:numPr>
          <w:ilvl w:val="0"/>
          <w:numId w:val="16"/>
        </w:numPr>
        <w:spacing w:after="0" w:line="240" w:lineRule="auto"/>
        <w:ind w:left="993" w:right="1" w:hanging="426"/>
        <w:contextualSpacing/>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гарантира правото на детето/учениците на достъп до подходяща информация и материали в мрежата;</w:t>
      </w:r>
    </w:p>
    <w:p w:rsidR="00711051" w:rsidRPr="00711051" w:rsidRDefault="00711051" w:rsidP="00711051">
      <w:pPr>
        <w:numPr>
          <w:ilvl w:val="0"/>
          <w:numId w:val="16"/>
        </w:numPr>
        <w:spacing w:after="0" w:line="240" w:lineRule="auto"/>
        <w:ind w:left="993" w:right="1" w:hanging="426"/>
        <w:contextualSpacing/>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осъществи превенция и синтезира на едно място информацията за опасностите в интернет;</w:t>
      </w:r>
    </w:p>
    <w:p w:rsidR="00711051" w:rsidRPr="00711051" w:rsidRDefault="00711051" w:rsidP="00711051">
      <w:pPr>
        <w:numPr>
          <w:ilvl w:val="0"/>
          <w:numId w:val="16"/>
        </w:numPr>
        <w:spacing w:after="0" w:line="240" w:lineRule="auto"/>
        <w:ind w:left="993" w:right="1" w:hanging="426"/>
        <w:contextualSpacing/>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предоставят конкретни насоки за закрила на детето и безопасно поведение в компютърната мрежа в детската градина и в училище и в интернет;</w:t>
      </w:r>
    </w:p>
    <w:p w:rsidR="00711051" w:rsidRPr="00711051" w:rsidRDefault="00711051" w:rsidP="00711051">
      <w:pPr>
        <w:numPr>
          <w:ilvl w:val="0"/>
          <w:numId w:val="16"/>
        </w:numPr>
        <w:spacing w:after="0" w:line="240" w:lineRule="auto"/>
        <w:ind w:left="993" w:right="1" w:hanging="426"/>
        <w:contextualSpacing/>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подобри координацията и отговорностите на участниците и/или всички заинтересовани страни. </w:t>
      </w: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 xml:space="preserve">Съветът за електронни медии прие </w:t>
      </w:r>
      <w:r w:rsidRPr="00711051">
        <w:rPr>
          <w:rFonts w:ascii="Times New Roman" w:eastAsia="Times New Roman" w:hAnsi="Times New Roman" w:cs="Times New Roman"/>
          <w:b/>
          <w:sz w:val="24"/>
          <w:szCs w:val="24"/>
          <w:shd w:val="clear" w:color="auto" w:fill="FFFFFF"/>
          <w:lang w:eastAsia="bg-BG"/>
        </w:rPr>
        <w:t>Препоръчително екранно време за деца и насоки за използване на медийно и онлайн съдържание</w:t>
      </w:r>
      <w:r w:rsidRPr="00711051">
        <w:rPr>
          <w:rFonts w:ascii="Times New Roman" w:eastAsia="Times New Roman" w:hAnsi="Times New Roman" w:cs="Times New Roman"/>
          <w:sz w:val="24"/>
          <w:szCs w:val="24"/>
          <w:shd w:val="clear" w:color="auto" w:fill="FFFFFF"/>
          <w:lang w:eastAsia="bg-BG"/>
        </w:rPr>
        <w:t xml:space="preserve">. С документа се цели да подпомогне родители, настойници, попечители или други лица, които полагат грижи за деца, както и специалистите, работещи с деца от най-ранна възраст, така че екраните да бъдат въведени постепенно в здравословна и подходяща степен, за да не доведат до нарушение на физическото, психическото, нравственото и/или социалното развитие, включително тяхното зрение, говор, психо-социално и емоционално развитие. Съветът за електронни медии отчита обстоятелството, че екранните устройства са част от </w:t>
      </w:r>
      <w:r w:rsidRPr="00711051">
        <w:rPr>
          <w:rFonts w:ascii="Times New Roman" w:eastAsia="Times New Roman" w:hAnsi="Times New Roman" w:cs="Times New Roman"/>
          <w:sz w:val="24"/>
          <w:szCs w:val="24"/>
          <w:shd w:val="clear" w:color="auto" w:fill="FFFFFF"/>
          <w:lang w:eastAsia="bg-BG"/>
        </w:rPr>
        <w:lastRenderedPageBreak/>
        <w:t>ежедневието на голяма част от българските деца и тяхното ползване е възможно в разумни, пропорционални и здравословни граници, както за учене и комуникация, така и с цел забавление. Фокусът на тези препоръки е свързан основно с превенция на децата и подкрепа на възрастните.</w:t>
      </w: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i/>
          <w:sz w:val="24"/>
          <w:szCs w:val="24"/>
          <w:shd w:val="clear" w:color="auto" w:fill="FFFFFF"/>
          <w:lang w:eastAsia="bg-BG"/>
        </w:rPr>
        <w:t>Препоръчително екранно врече за деца и насоки за използване на медийно и онлайн съдържание</w:t>
      </w:r>
      <w:r w:rsidRPr="00711051">
        <w:rPr>
          <w:rFonts w:ascii="Times New Roman" w:eastAsia="Times New Roman" w:hAnsi="Times New Roman" w:cs="Times New Roman"/>
          <w:sz w:val="24"/>
          <w:szCs w:val="24"/>
          <w:shd w:val="clear" w:color="auto" w:fill="FFFFFF"/>
          <w:lang w:eastAsia="bg-BG"/>
        </w:rPr>
        <w:t xml:space="preserve"> може да намерите ТУК:</w:t>
      </w: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hyperlink r:id="rId16" w:history="1">
        <w:r w:rsidRPr="00711051">
          <w:rPr>
            <w:rFonts w:ascii="Times New Roman" w:eastAsia="Times New Roman" w:hAnsi="Times New Roman" w:cs="Times New Roman"/>
            <w:color w:val="0563C1"/>
            <w:sz w:val="24"/>
            <w:szCs w:val="24"/>
            <w:u w:val="single"/>
            <w:shd w:val="clear" w:color="auto" w:fill="FFFFFF"/>
            <w:lang w:eastAsia="bg-BG"/>
          </w:rPr>
          <w:t>https://www.cem.bg/files/1733755791_preporaka_ekranno_vreme.pdf</w:t>
        </w:r>
      </w:hyperlink>
    </w:p>
    <w:p w:rsidR="00711051" w:rsidRPr="00711051" w:rsidRDefault="00711051" w:rsidP="00711051">
      <w:pPr>
        <w:spacing w:before="120" w:after="120" w:line="336" w:lineRule="auto"/>
        <w:ind w:right="1"/>
        <w:rPr>
          <w:rFonts w:ascii="Times New Roman" w:eastAsia="Times New Roman" w:hAnsi="Times New Roman" w:cs="Times New Roman"/>
          <w:sz w:val="24"/>
          <w:szCs w:val="24"/>
          <w:lang w:eastAsia="bg-BG"/>
        </w:rPr>
      </w:pPr>
    </w:p>
    <w:p w:rsidR="00711051" w:rsidRPr="00711051" w:rsidRDefault="00711051" w:rsidP="00711051">
      <w:pPr>
        <w:spacing w:before="120" w:after="120"/>
        <w:ind w:right="1"/>
        <w:jc w:val="center"/>
        <w:rPr>
          <w:rFonts w:ascii="Times New Roman" w:eastAsia="Times New Roman" w:hAnsi="Times New Roman" w:cs="Times New Roman"/>
          <w:sz w:val="24"/>
          <w:szCs w:val="24"/>
          <w:lang w:eastAsia="bg-BG"/>
        </w:rPr>
      </w:pPr>
      <w:r w:rsidRPr="00711051">
        <w:rPr>
          <w:rFonts w:ascii="Times New Roman" w:eastAsia="Times New Roman" w:hAnsi="Times New Roman" w:cs="Times New Roman"/>
          <w:noProof/>
          <w:sz w:val="24"/>
          <w:szCs w:val="24"/>
          <w:lang w:eastAsia="bg-BG"/>
        </w:rPr>
        <w:drawing>
          <wp:inline distT="0" distB="0" distL="0" distR="0" wp14:anchorId="34F3C657" wp14:editId="070CCF80">
            <wp:extent cx="5753100" cy="1737360"/>
            <wp:effectExtent l="0" t="0" r="0" b="0"/>
            <wp:docPr id="10" name="Picture 21"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rsidR="00711051" w:rsidRPr="00711051" w:rsidRDefault="00711051" w:rsidP="00711051">
      <w:pPr>
        <w:spacing w:before="120" w:after="120" w:line="336" w:lineRule="auto"/>
        <w:ind w:left="-567" w:right="1"/>
        <w:rPr>
          <w:rFonts w:ascii="Times New Roman" w:eastAsia="Times New Roman" w:hAnsi="Times New Roman" w:cs="Times New Roman"/>
          <w:sz w:val="24"/>
          <w:szCs w:val="24"/>
          <w:lang w:eastAsia="bg-BG"/>
        </w:rPr>
      </w:pPr>
      <w:r w:rsidRPr="00711051">
        <w:rPr>
          <w:rFonts w:ascii="Times New Roman" w:eastAsia="Rubik Light" w:hAnsi="Times New Roman" w:cs="Times New Roman"/>
          <w:color w:val="000000"/>
          <w:sz w:val="24"/>
          <w:szCs w:val="24"/>
          <w:lang w:eastAsia="bg-BG"/>
        </w:rPr>
        <w:t xml:space="preserve"> </w:t>
      </w:r>
    </w:p>
    <w:p w:rsidR="00711051" w:rsidRPr="00711051" w:rsidRDefault="00711051" w:rsidP="00711051">
      <w:pPr>
        <w:spacing w:before="120" w:after="120" w:line="336" w:lineRule="auto"/>
        <w:outlineLvl w:val="0"/>
        <w:rPr>
          <w:rFonts w:ascii="Times New Roman" w:eastAsia="Times New Roman" w:hAnsi="Times New Roman" w:cs="Times New Roman"/>
          <w:sz w:val="24"/>
          <w:szCs w:val="24"/>
          <w:lang w:eastAsia="bg-BG"/>
        </w:rPr>
      </w:pPr>
      <w:bookmarkStart w:id="26" w:name="_Toc196818257"/>
      <w:r w:rsidRPr="00711051">
        <w:rPr>
          <w:rFonts w:ascii="Times New Roman" w:eastAsia="Old Standard" w:hAnsi="Times New Roman" w:cs="Times New Roman"/>
          <w:color w:val="8A663F"/>
          <w:sz w:val="24"/>
          <w:szCs w:val="24"/>
          <w:lang w:eastAsia="bg-BG"/>
        </w:rPr>
        <w:t>РАЗДЕЛ 6</w:t>
      </w:r>
      <w:bookmarkEnd w:id="26"/>
    </w:p>
    <w:p w:rsidR="00711051" w:rsidRPr="00711051" w:rsidRDefault="00711051" w:rsidP="00711051">
      <w:pPr>
        <w:spacing w:before="120" w:after="120" w:line="336" w:lineRule="auto"/>
        <w:jc w:val="both"/>
        <w:outlineLvl w:val="0"/>
        <w:rPr>
          <w:rFonts w:ascii="Times New Roman" w:eastAsia="Times New Roman" w:hAnsi="Times New Roman" w:cs="Times New Roman"/>
          <w:b/>
          <w:sz w:val="24"/>
          <w:szCs w:val="24"/>
          <w:lang w:eastAsia="bg-BG"/>
        </w:rPr>
      </w:pPr>
      <w:bookmarkStart w:id="27" w:name="_Toc196818258"/>
      <w:r w:rsidRPr="00711051">
        <w:rPr>
          <w:rFonts w:ascii="Times New Roman" w:eastAsia="Times New Roman" w:hAnsi="Times New Roman" w:cs="Times New Roman"/>
          <w:b/>
          <w:sz w:val="24"/>
          <w:szCs w:val="24"/>
          <w:lang w:eastAsia="bg-BG"/>
        </w:rPr>
        <w:t>ПРАВИЛА ЗА БЕЗОПАСНОСТ ПРИ ПОЛЗВАНЕ НА ВОДНИ ПЛОЩИ И ПРИ БЕДСТВИЯ, ПОЖАРИ</w:t>
      </w:r>
      <w:r w:rsidRPr="00711051">
        <w:rPr>
          <w:rFonts w:ascii="Times New Roman" w:eastAsia="Times New Roman" w:hAnsi="Times New Roman" w:cs="Times New Roman"/>
          <w:b/>
          <w:color w:val="FF0000"/>
          <w:sz w:val="24"/>
          <w:szCs w:val="24"/>
          <w:lang w:eastAsia="bg-BG"/>
        </w:rPr>
        <w:t xml:space="preserve"> </w:t>
      </w:r>
      <w:r w:rsidRPr="00711051">
        <w:rPr>
          <w:rFonts w:ascii="Times New Roman" w:eastAsia="Times New Roman" w:hAnsi="Times New Roman" w:cs="Times New Roman"/>
          <w:b/>
          <w:sz w:val="24"/>
          <w:szCs w:val="24"/>
          <w:lang w:eastAsia="bg-BG"/>
        </w:rPr>
        <w:t>И ИЗВЪНРЕДНИ СИТУАЦИИ</w:t>
      </w:r>
      <w:bookmarkEnd w:id="27"/>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711051" w:rsidRPr="00711051" w:rsidTr="00693D09">
        <w:tc>
          <w:tcPr>
            <w:tcW w:w="10118" w:type="dxa"/>
            <w:shd w:val="clear" w:color="auto" w:fill="FFFBF5"/>
            <w:tcMar>
              <w:top w:w="180" w:type="dxa"/>
              <w:left w:w="180" w:type="dxa"/>
              <w:bottom w:w="180" w:type="dxa"/>
              <w:right w:w="180" w:type="dxa"/>
            </w:tcMar>
          </w:tcPr>
          <w:p w:rsidR="00711051" w:rsidRPr="00711051" w:rsidRDefault="00711051" w:rsidP="00711051">
            <w:pPr>
              <w:ind w:left="567"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Какво трябва да се знае?</w:t>
            </w:r>
          </w:p>
          <w:p w:rsidR="00711051" w:rsidRPr="00711051" w:rsidRDefault="00711051" w:rsidP="00711051">
            <w:pPr>
              <w:ind w:left="567" w:right="1"/>
              <w:jc w:val="both"/>
              <w:rPr>
                <w:rFonts w:ascii="Times New Roman" w:eastAsia="Times New Roman" w:hAnsi="Times New Roman" w:cs="Times New Roman"/>
                <w:b/>
                <w:sz w:val="24"/>
                <w:szCs w:val="24"/>
                <w:lang w:eastAsia="bg-BG"/>
              </w:rPr>
            </w:pPr>
            <w:r w:rsidRPr="00711051">
              <w:rPr>
                <w:rFonts w:ascii="Times New Roman" w:eastAsia="Times New Roman" w:hAnsi="Times New Roman" w:cs="Times New Roman"/>
                <w:b/>
                <w:sz w:val="24"/>
                <w:szCs w:val="24"/>
                <w:lang w:eastAsia="bg-BG"/>
              </w:rPr>
              <w:t>На какво да се акцентира?</w:t>
            </w:r>
          </w:p>
          <w:p w:rsidR="00711051" w:rsidRPr="00711051" w:rsidRDefault="00711051" w:rsidP="00711051">
            <w:pPr>
              <w:spacing w:before="120" w:after="120" w:line="336" w:lineRule="auto"/>
              <w:ind w:left="-38" w:right="1" w:firstLine="3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sz w:val="24"/>
                <w:szCs w:val="24"/>
                <w:lang w:eastAsia="bg-BG"/>
              </w:rPr>
              <w:t xml:space="preserve">         Общи рискове за децата</w:t>
            </w:r>
          </w:p>
        </w:tc>
      </w:tr>
    </w:tbl>
    <w:p w:rsidR="00711051" w:rsidRPr="00711051" w:rsidRDefault="00711051" w:rsidP="00711051">
      <w:pPr>
        <w:spacing w:before="120" w:after="120" w:line="336" w:lineRule="auto"/>
        <w:jc w:val="both"/>
        <w:outlineLvl w:val="1"/>
        <w:rPr>
          <w:rFonts w:ascii="Times New Roman" w:eastAsia="Open Sans Bold" w:hAnsi="Times New Roman" w:cs="Times New Roman"/>
          <w:b/>
          <w:bCs/>
          <w:color w:val="1A62FF"/>
          <w:sz w:val="24"/>
          <w:szCs w:val="24"/>
          <w:u w:val="single" w:color="1A62FF"/>
          <w:lang w:eastAsia="bg-BG"/>
        </w:rPr>
      </w:pPr>
      <w:r w:rsidRPr="00711051">
        <w:rPr>
          <w:rFonts w:ascii="Times New Roman" w:eastAsia="Rubik Light" w:hAnsi="Times New Roman" w:cs="Times New Roman"/>
          <w:color w:val="000000"/>
          <w:sz w:val="24"/>
          <w:szCs w:val="24"/>
          <w:lang w:eastAsia="bg-BG"/>
        </w:rPr>
        <w:t xml:space="preserve"> </w:t>
      </w:r>
      <w:bookmarkStart w:id="28" w:name="_Toc196818259"/>
      <w:r w:rsidRPr="00711051">
        <w:rPr>
          <w:rFonts w:ascii="Times New Roman" w:eastAsia="Open Sans Bold" w:hAnsi="Times New Roman" w:cs="Times New Roman"/>
          <w:b/>
          <w:bCs/>
          <w:color w:val="1A62FF"/>
          <w:sz w:val="24"/>
          <w:szCs w:val="24"/>
          <w:highlight w:val="lightGray"/>
          <w:u w:val="single" w:color="1A62FF"/>
          <w:lang w:eastAsia="bg-BG"/>
        </w:rPr>
        <w:t>6.1. Правила за безопасност на децата и учениците при ползване на водни площи – реки, езера, язовири и микроязовири, открити канали и крайбрежните морски води</w:t>
      </w:r>
      <w:bookmarkEnd w:id="28"/>
      <w:r w:rsidRPr="00711051">
        <w:rPr>
          <w:rFonts w:ascii="Times New Roman" w:eastAsia="Open Sans Bold" w:hAnsi="Times New Roman" w:cs="Times New Roman"/>
          <w:b/>
          <w:bCs/>
          <w:color w:val="1A62FF"/>
          <w:sz w:val="24"/>
          <w:szCs w:val="24"/>
          <w:highlight w:val="lightGray"/>
          <w:u w:val="single" w:color="1A62FF"/>
          <w:vertAlign w:val="superscript"/>
          <w:lang w:eastAsia="bg-BG"/>
        </w:rPr>
        <w:footnoteReference w:id="14"/>
      </w: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lastRenderedPageBreak/>
        <w:t>Задължения на лицата, ползващи водните площи</w:t>
      </w:r>
      <w:r w:rsidRPr="00711051">
        <w:rPr>
          <w:rFonts w:ascii="Times New Roman" w:eastAsia="Times New Roman" w:hAnsi="Times New Roman" w:cs="Times New Roman"/>
          <w:b/>
          <w:bCs/>
          <w:sz w:val="24"/>
          <w:szCs w:val="24"/>
          <w:vertAlign w:val="superscript"/>
          <w:lang w:eastAsia="bg-BG"/>
        </w:rPr>
        <w:footnoteReference w:id="15"/>
      </w: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r w:rsidRPr="00711051">
        <w:rPr>
          <w:rFonts w:ascii="Calibri" w:eastAsia="Times New Roman" w:hAnsi="Calibri" w:cs="Times New Roman"/>
          <w:noProof/>
          <w:lang w:eastAsia="bg-BG"/>
        </w:rPr>
        <mc:AlternateContent>
          <mc:Choice Requires="wps">
            <w:drawing>
              <wp:anchor distT="0" distB="0" distL="114300" distR="114300" simplePos="0" relativeHeight="251666432" behindDoc="0" locked="0" layoutInCell="1" allowOverlap="1" wp14:anchorId="11811774" wp14:editId="206D683A">
                <wp:simplePos x="0" y="0"/>
                <wp:positionH relativeFrom="column">
                  <wp:posOffset>-53975</wp:posOffset>
                </wp:positionH>
                <wp:positionV relativeFrom="paragraph">
                  <wp:posOffset>-256540</wp:posOffset>
                </wp:positionV>
                <wp:extent cx="6156960" cy="413766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4137660"/>
                        </a:xfrm>
                        <a:prstGeom prst="rect">
                          <a:avLst/>
                        </a:prstGeom>
                        <a:solidFill>
                          <a:srgbClr val="5B9BD5"/>
                        </a:solidFill>
                        <a:ln w="12700" cap="flat" cmpd="sng" algn="ctr">
                          <a:solidFill>
                            <a:srgbClr val="5B9BD5">
                              <a:shade val="50000"/>
                            </a:srgbClr>
                          </a:solidFill>
                          <a:prstDash val="solid"/>
                          <a:miter lim="800000"/>
                        </a:ln>
                        <a:effectLst/>
                      </wps:spPr>
                      <wps:txbx>
                        <w:txbxContent>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скачат от плавателни съдове и брегови съоръжения, непригодени за тази цел;</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11774" id="Rectangle 9" o:spid="_x0000_s1035" style="position:absolute;left:0;text-align:left;margin-left:-4.25pt;margin-top:-20.2pt;width:484.8pt;height:3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" fillcolor="#5b9bd5" strokecolor="#41719c" strokeweight="1pt">
                <v:path arrowok="t"/>
                <v:textbox>
                  <w:txbxContent>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скачат от плавателни съдове и брегови съоръжения, непригодени за тази цел;</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rsidR="00711051" w:rsidRPr="00B445DD" w:rsidRDefault="00711051" w:rsidP="00711051">
                      <w:pPr>
                        <w:pStyle w:val="a6"/>
                        <w:numPr>
                          <w:ilvl w:val="0"/>
                          <w:numId w:val="23"/>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rsidR="00711051" w:rsidRPr="00B445DD" w:rsidRDefault="00711051" w:rsidP="00711051">
                      <w:pPr>
                        <w:pStyle w:val="a6"/>
                        <w:numPr>
                          <w:ilvl w:val="0"/>
                          <w:numId w:val="23"/>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v:textbox>
              </v:rect>
            </w:pict>
          </mc:Fallback>
        </mc:AlternateContent>
      </w: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spacing w:before="100" w:beforeAutospacing="1" w:after="100" w:afterAutospacing="1" w:line="240" w:lineRule="auto"/>
        <w:ind w:right="1" w:firstLine="708"/>
        <w:textAlignment w:val="center"/>
        <w:rPr>
          <w:rFonts w:ascii="Times New Roman" w:eastAsia="Times New Roman" w:hAnsi="Times New Roman" w:cs="Times New Roman"/>
          <w:b/>
          <w:bCs/>
          <w:sz w:val="24"/>
          <w:szCs w:val="24"/>
          <w:lang w:eastAsia="bg-BG"/>
        </w:rPr>
      </w:pPr>
    </w:p>
    <w:p w:rsidR="00711051" w:rsidRPr="00711051" w:rsidRDefault="00711051" w:rsidP="00711051">
      <w:pPr>
        <w:keepNext/>
        <w:keepLines/>
        <w:shd w:val="clear" w:color="auto" w:fill="FCF9EA"/>
        <w:spacing w:before="40" w:after="0" w:line="276" w:lineRule="auto"/>
        <w:outlineLvl w:val="2"/>
        <w:rPr>
          <w:rFonts w:ascii="Times New Roman" w:eastAsia="Times New Roman" w:hAnsi="Times New Roman" w:cs="Times New Roman"/>
          <w:b/>
          <w:bCs/>
          <w:color w:val="1F4D78"/>
          <w:sz w:val="24"/>
          <w:szCs w:val="24"/>
        </w:rPr>
      </w:pPr>
      <w:bookmarkStart w:id="29" w:name="_Toc196818260"/>
      <w:r w:rsidRPr="00711051">
        <w:rPr>
          <w:rFonts w:ascii="Times New Roman" w:eastAsia="Times New Roman" w:hAnsi="Times New Roman" w:cs="Times New Roman"/>
          <w:b/>
          <w:sz w:val="24"/>
          <w:szCs w:val="24"/>
          <w:lang w:eastAsia="bg-BG"/>
        </w:rPr>
        <w:t>6.1.1.</w:t>
      </w:r>
      <w:r w:rsidRPr="00711051">
        <w:rPr>
          <w:rFonts w:ascii="Times New Roman" w:eastAsia="Times New Roman" w:hAnsi="Times New Roman" w:cs="Times New Roman"/>
          <w:sz w:val="24"/>
          <w:szCs w:val="24"/>
          <w:lang w:eastAsia="bg-BG"/>
        </w:rPr>
        <w:t xml:space="preserve"> </w:t>
      </w:r>
      <w:r w:rsidRPr="00711051">
        <w:rPr>
          <w:rFonts w:ascii="Times New Roman" w:eastAsia="Times New Roman" w:hAnsi="Times New Roman" w:cs="Times New Roman"/>
          <w:b/>
          <w:bCs/>
          <w:sz w:val="24"/>
          <w:szCs w:val="24"/>
        </w:rPr>
        <w:t xml:space="preserve">Правила за безопасност на децата и учениците при ползване на </w:t>
      </w:r>
      <w:r w:rsidRPr="00711051">
        <w:rPr>
          <w:rFonts w:ascii="Times New Roman" w:eastAsia="Times New Roman" w:hAnsi="Times New Roman" w:cs="Times New Roman"/>
          <w:b/>
          <w:bCs/>
          <w:sz w:val="24"/>
          <w:szCs w:val="24"/>
          <w:u w:val="single"/>
        </w:rPr>
        <w:t>водни площи</w:t>
      </w:r>
      <w:bookmarkEnd w:id="29"/>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p>
    <w:p w:rsidR="00711051" w:rsidRPr="00711051" w:rsidRDefault="00711051" w:rsidP="00711051">
      <w:pPr>
        <w:spacing w:after="0" w:line="240" w:lineRule="auto"/>
        <w:ind w:right="1" w:firstLine="567"/>
        <w:jc w:val="both"/>
        <w:rPr>
          <w:rFonts w:ascii="Times New Roman" w:eastAsia="Times New Roman" w:hAnsi="Times New Roman" w:cs="Times New Roman"/>
          <w:sz w:val="24"/>
          <w:szCs w:val="24"/>
          <w:shd w:val="clear" w:color="auto" w:fill="FFFFFF"/>
          <w:lang w:eastAsia="bg-BG"/>
        </w:rPr>
      </w:pPr>
      <w:r w:rsidRPr="00711051">
        <w:rPr>
          <w:rFonts w:ascii="Times New Roman" w:eastAsia="Times New Roman" w:hAnsi="Times New Roman" w:cs="Times New Roman"/>
          <w:sz w:val="24"/>
          <w:szCs w:val="24"/>
          <w:shd w:val="clear" w:color="auto" w:fill="FFFFFF"/>
          <w:lang w:eastAsia="bg-BG"/>
        </w:rPr>
        <w:t>Правилата за безопасност на децата и учениците при ползване на водни площи са изключително важни, за да се предотвратят инциденти и нещастни случаи. Ето някои основни насоки:</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Присъствие на възрастни</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и учениците трябва да бъдат под постоянно наблюдение от възрастни, особено когато се намират близо до водни площи (бани, басейни, реки, езера и морета).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Възрастните трябва да имат основни познания по водно спасяване и първа помощ.</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Използване на спасителни средства</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които не могат да плуват или не са уверени във водата, трябва да носят спасителни жилетки или други спасителни средства.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lastRenderedPageBreak/>
        <w:t>Важно е устройството да бъде подходящо за възрастта и теглото на детето.</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Познаване на водните обекти</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бъдат информирани за опасностите, свързани с водата: течения, дълбочина, температура на водата, и възможни подводни препятствия.</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Да не се играе близо до опасни зони, като водопади, бързеи или места с бързо течение.</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Обучение по плуване</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преминат основно обучение по плуване, за да могат да се справят в случай на нужда.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Тренировките по плуване трябва да се извършват под ръководството на квалифициран инструктор.</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Съблюдаване на правилата на водните съоръжения</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 басейните и другите водни съоръжения трябва да се спазват всички поставени правила и инструкции.</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Например, не се позволява бягане, скачане в плитки води или други рискови действия.</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Безопасност при скачане и гмуркане</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За да се избегнат наранявания, не трябва да се скачат или гмуркат в непознати или неозначени води.</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се учат как да скочат или гмуркат безопасно в определени дълбочини.</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Подходящо облекло</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носят подходящо облекло за плуване и защита от слънце.</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Важно е да се избягва носенето на тежки дрехи или предмети в водата, които могат да затруднят плуването.</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Избягване на употребата на алкохол и наркотици</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Никога не трябва да се позволяват на деца да се намират в или около водата под въздействие на алкохол или наркотици.</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Предупреждения и обозначения</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Всички водни зони трябва да имат ясни предупреждения и обозначения за безопасност, включително забрани за плуване в определени часове или при опасни условия (например бурно време).</w:t>
      </w:r>
    </w:p>
    <w:p w:rsidR="00711051" w:rsidRPr="00711051" w:rsidRDefault="00711051" w:rsidP="00711051">
      <w:pPr>
        <w:numPr>
          <w:ilvl w:val="0"/>
          <w:numId w:val="17"/>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Реагиране при инциденти</w:t>
      </w:r>
      <w:r w:rsidRPr="00711051">
        <w:rPr>
          <w:rFonts w:ascii="Times New Roman" w:eastAsia="Times New Roman" w:hAnsi="Times New Roman" w:cs="Times New Roman"/>
          <w:sz w:val="24"/>
          <w:szCs w:val="24"/>
          <w:lang w:eastAsia="bg-BG"/>
        </w:rPr>
        <w:t>:</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lastRenderedPageBreak/>
        <w:t>В случай на инцидент, трябва веднага да се извика помощ, а спасителите или възрастните трябва да осигурят първа помощ, ако е необходимо.</w:t>
      </w:r>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Тези правила са важни за предотвратяване на инциденти и осигуряване на безопасността на децата и учениците при ползването на водни площи.</w:t>
      </w:r>
      <w:r w:rsidRPr="00711051">
        <w:rPr>
          <w:rFonts w:ascii="Times New Roman" w:eastAsia="Times New Roman" w:hAnsi="Times New Roman" w:cs="Times New Roman"/>
          <w:sz w:val="24"/>
          <w:szCs w:val="24"/>
          <w:vertAlign w:val="superscript"/>
          <w:lang w:eastAsia="bg-BG"/>
        </w:rPr>
        <w:footnoteReference w:id="16"/>
      </w:r>
    </w:p>
    <w:p w:rsidR="00711051" w:rsidRPr="00711051" w:rsidRDefault="00711051" w:rsidP="00711051">
      <w:pPr>
        <w:keepNext/>
        <w:keepLines/>
        <w:shd w:val="clear" w:color="auto" w:fill="FCF9EA"/>
        <w:spacing w:before="40" w:after="0" w:line="276" w:lineRule="auto"/>
        <w:outlineLvl w:val="2"/>
        <w:rPr>
          <w:rFonts w:ascii="Times New Roman" w:eastAsia="Times New Roman" w:hAnsi="Times New Roman" w:cs="Times New Roman"/>
          <w:b/>
          <w:bCs/>
          <w:color w:val="1F4D78"/>
          <w:sz w:val="24"/>
          <w:szCs w:val="24"/>
        </w:rPr>
      </w:pPr>
      <w:bookmarkStart w:id="30" w:name="_Toc192257007"/>
      <w:bookmarkStart w:id="31" w:name="_Toc196818261"/>
      <w:r w:rsidRPr="00711051">
        <w:rPr>
          <w:rFonts w:ascii="Times New Roman" w:eastAsia="Times New Roman" w:hAnsi="Times New Roman" w:cs="Times New Roman"/>
          <w:b/>
          <w:bCs/>
          <w:sz w:val="24"/>
          <w:szCs w:val="24"/>
          <w:lang w:eastAsia="bg-BG"/>
        </w:rPr>
        <w:t xml:space="preserve">6.1.2. Правилата за безопасност на децата и учениците при ползване на </w:t>
      </w:r>
      <w:r w:rsidRPr="00711051">
        <w:rPr>
          <w:rFonts w:ascii="Times New Roman" w:eastAsia="Times New Roman" w:hAnsi="Times New Roman" w:cs="Times New Roman"/>
          <w:b/>
          <w:bCs/>
          <w:sz w:val="24"/>
          <w:szCs w:val="24"/>
          <w:u w:val="single"/>
          <w:lang w:eastAsia="bg-BG"/>
        </w:rPr>
        <w:t>реки</w:t>
      </w:r>
      <w:bookmarkEnd w:id="30"/>
      <w:bookmarkEnd w:id="31"/>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Правилата за безопасност на децата и учениците при ползване на реки са изключително важни, тъй като водните обекти могат да крият различни опасности, като бързи течения, подводни камъни и други рискови фактори. Ето основни правила за безопасност:</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Наблюдение от възрастни</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бъдат винаги под наблюдението на възрастни, когато са в или около река.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Възрастните трябва да имат основни познания за безопасността във водата и да знаят как да реагират при инцидент.</w:t>
      </w:r>
    </w:p>
    <w:p w:rsidR="00711051" w:rsidRPr="00711051" w:rsidRDefault="00711051" w:rsidP="00711051">
      <w:pPr>
        <w:numPr>
          <w:ilvl w:val="0"/>
          <w:numId w:val="18"/>
        </w:numPr>
        <w:ind w:right="1"/>
        <w:contextualSpacing/>
        <w:jc w:val="both"/>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Препоръчва се да не се влиза в река от деца за къпане и плуване</w:t>
      </w:r>
      <w:r w:rsidRPr="00711051">
        <w:rPr>
          <w:rFonts w:ascii="Times New Roman" w:eastAsia="Times New Roman" w:hAnsi="Times New Roman" w:cs="Times New Roman"/>
          <w:b/>
          <w:bCs/>
          <w:sz w:val="24"/>
          <w:szCs w:val="24"/>
          <w:vertAlign w:val="superscript"/>
          <w:lang w:eastAsia="bg-BG"/>
        </w:rPr>
        <w:footnoteReference w:id="17"/>
      </w:r>
    </w:p>
    <w:p w:rsidR="00711051" w:rsidRPr="00711051" w:rsidRDefault="00711051" w:rsidP="00711051">
      <w:pPr>
        <w:ind w:left="1068" w:right="1"/>
        <w:contextualSpacing/>
        <w:jc w:val="both"/>
        <w:rPr>
          <w:rFonts w:ascii="Times New Roman" w:eastAsia="Times New Roman" w:hAnsi="Times New Roman" w:cs="Times New Roman"/>
          <w:b/>
          <w:bCs/>
          <w:sz w:val="24"/>
          <w:szCs w:val="24"/>
          <w:highlight w:val="yellow"/>
          <w:lang w:eastAsia="bg-BG"/>
        </w:rPr>
      </w:pP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Познаване опасностите от течението</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Течението на реката може да бъде много силно, особено в планински или неукротени участъци. Децата трябва да бъдат обучени да разпознават опасни участъци, като бързеи или места с бързо течение.</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Важно е да се избягва влизането в река в места с бързо или трудно контролируемо течение.</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Използване на спасителни средства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които не са уверени плувци, трябва да носят спасителни жилетки или други подходящи спасителни средства, докато са във водата или в близост до реката.</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Безопасни места за игра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играят само в безопасни участъци на реката, които са обособени за това и не съдържат рискове (например, не се допуска игра близо до бързеи или дълбоки места).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 трябва да се пресичат реки в участъци с бързо течение или опасни водни зони.</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Не скачайте или гмуркайте в река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lastRenderedPageBreak/>
        <w:t>Скачането или гмуркането в река може да бъде много опасно, тъй като дъното може да е неравно или да има скали и други препятствия, които могат да причинят сериозни наранявания.</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Преди да се скочи или гмурне, трябва да се уверите, че мястото е безопасно и дълбочината на водата е достатъчна.</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Не се плува самостоятелно</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 се плува в река от деца, нито самостоятелно, нито с възрастен.</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Може да се използват лодки или каяци от възрастен, но само при наличие на подходящо оборудване и опит.</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Избягвайте водни потоци по време на буря</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 се влиза в реката или в нейните близки участъци по време на буря или при внезапни дъждове, когато водата може да се вдигне бързо и да създаде опасни условия.</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Познавайте терена около реката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Преди да играете около или в близост до река, трябва да се уверите, че знаете терена и особеностите на реката, като бързеи, камъни или други препятствия, за да не попаднете в реката.</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Предпазване от хипотермия</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 студени води е важно да се избягва продължително излагане на ниски температури, което може да доведе до хипотермия.</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Речните води могат да бъдат много студени, дори и в топло време, така че винаги носете подходящо облекло, ако ще сте в студена вода.</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Обучение по първа помощ</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Родителите и учителите трябва да са обучени да осигурят първа помощ в случай на инциденти, като например давене или наранявания от скали.</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Придобиването на умения по спасяване и оказване на първа помощ във водата е препоръчително.</w:t>
      </w:r>
    </w:p>
    <w:p w:rsidR="00711051" w:rsidRPr="00711051" w:rsidRDefault="00711051" w:rsidP="00711051">
      <w:pPr>
        <w:numPr>
          <w:ilvl w:val="0"/>
          <w:numId w:val="18"/>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Не пийте вода от реката</w:t>
      </w:r>
    </w:p>
    <w:p w:rsidR="00711051" w:rsidRPr="00711051" w:rsidRDefault="00711051" w:rsidP="00711051">
      <w:pPr>
        <w:numPr>
          <w:ilvl w:val="0"/>
          <w:numId w:val="19"/>
        </w:numPr>
        <w:spacing w:before="100" w:beforeAutospacing="1" w:after="100" w:afterAutospacing="1" w:line="240" w:lineRule="auto"/>
        <w:ind w:right="1"/>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Реките могат да съдържат замърсители или бактерии, които могат да бъдат опасни за здравето, така че не трябва да се пие вода от реката.</w:t>
      </w:r>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Спазването на тези правила ще осигури безопасността на децата и учениците при ползване на реки и ще предотврати инциденти, които могат да имат сериозни последици.</w:t>
      </w:r>
    </w:p>
    <w:p w:rsidR="00711051" w:rsidRPr="00711051" w:rsidRDefault="00711051" w:rsidP="00711051">
      <w:pPr>
        <w:keepNext/>
        <w:keepLines/>
        <w:shd w:val="clear" w:color="auto" w:fill="FCF9EA"/>
        <w:spacing w:before="40" w:after="0" w:line="276" w:lineRule="auto"/>
        <w:outlineLvl w:val="2"/>
        <w:rPr>
          <w:rFonts w:ascii="Times New Roman" w:eastAsia="Times New Roman" w:hAnsi="Times New Roman" w:cs="Times New Roman"/>
          <w:b/>
          <w:bCs/>
          <w:sz w:val="24"/>
          <w:szCs w:val="24"/>
          <w:lang w:eastAsia="bg-BG"/>
        </w:rPr>
      </w:pPr>
      <w:bookmarkStart w:id="32" w:name="_Toc192257008"/>
      <w:bookmarkStart w:id="33" w:name="_Toc196818262"/>
      <w:r w:rsidRPr="00711051">
        <w:rPr>
          <w:rFonts w:ascii="Times New Roman" w:eastAsia="Times New Roman" w:hAnsi="Times New Roman" w:cs="Times New Roman"/>
          <w:b/>
          <w:bCs/>
          <w:sz w:val="24"/>
          <w:szCs w:val="24"/>
          <w:lang w:eastAsia="bg-BG"/>
        </w:rPr>
        <w:t xml:space="preserve">6.1.3. Правилата за безопасност на децата и учениците при ползване </w:t>
      </w:r>
      <w:r w:rsidRPr="00711051">
        <w:rPr>
          <w:rFonts w:ascii="Times New Roman" w:eastAsia="Times New Roman" w:hAnsi="Times New Roman" w:cs="Times New Roman"/>
          <w:b/>
          <w:bCs/>
          <w:sz w:val="24"/>
          <w:szCs w:val="24"/>
          <w:u w:val="single"/>
          <w:lang w:eastAsia="bg-BG"/>
        </w:rPr>
        <w:t>на езера</w:t>
      </w:r>
      <w:bookmarkEnd w:id="32"/>
      <w:bookmarkEnd w:id="33"/>
      <w:r w:rsidRPr="00711051">
        <w:rPr>
          <w:rFonts w:ascii="Times New Roman" w:eastAsia="Times New Roman" w:hAnsi="Times New Roman" w:cs="Times New Roman"/>
          <w:b/>
          <w:bCs/>
          <w:sz w:val="24"/>
          <w:szCs w:val="24"/>
          <w:u w:val="single"/>
          <w:vertAlign w:val="superscript"/>
          <w:lang w:eastAsia="bg-BG"/>
        </w:rPr>
        <w:footnoteReference w:id="18"/>
      </w:r>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 xml:space="preserve">Правилата за безопасност на децата и учениците при ползване на езера са изключително важни, тъй като езерата също представляват водни обекти, които могат да </w:t>
      </w:r>
      <w:r w:rsidRPr="00711051">
        <w:rPr>
          <w:rFonts w:ascii="Times New Roman" w:eastAsia="Times New Roman" w:hAnsi="Times New Roman" w:cs="Times New Roman"/>
          <w:sz w:val="24"/>
          <w:szCs w:val="24"/>
          <w:lang w:eastAsia="bg-BG"/>
        </w:rPr>
        <w:lastRenderedPageBreak/>
        <w:t>крият различни рискове като дълбочина, подводни препятствия, както и внезапни промени в нивото на водата. Ето основни правила, които трябва да се спазват:</w:t>
      </w:r>
    </w:p>
    <w:p w:rsidR="00711051" w:rsidRPr="00711051" w:rsidRDefault="00711051" w:rsidP="00711051">
      <w:pPr>
        <w:numPr>
          <w:ilvl w:val="0"/>
          <w:numId w:val="22"/>
        </w:numPr>
        <w:ind w:right="1"/>
        <w:contextualSpacing/>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Наблюдение от възрастни</w:t>
      </w:r>
    </w:p>
    <w:p w:rsidR="00711051" w:rsidRPr="00711051" w:rsidRDefault="00711051" w:rsidP="00711051">
      <w:pPr>
        <w:ind w:left="1080" w:right="1"/>
        <w:contextualSpacing/>
        <w:rPr>
          <w:rFonts w:ascii="Times New Roman" w:eastAsia="Times New Roman" w:hAnsi="Times New Roman" w:cs="Times New Roman"/>
          <w:b/>
          <w:bCs/>
          <w:sz w:val="24"/>
          <w:szCs w:val="24"/>
          <w:lang w:eastAsia="bg-BG"/>
        </w:rPr>
      </w:pPr>
    </w:p>
    <w:p w:rsidR="00711051" w:rsidRPr="00711051" w:rsidRDefault="00711051" w:rsidP="00711051">
      <w:pPr>
        <w:numPr>
          <w:ilvl w:val="0"/>
          <w:numId w:val="20"/>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и учениците трябва да бъдат под постоянно наблюдение на възрастни, когато са в или около езеро.</w:t>
      </w:r>
    </w:p>
    <w:p w:rsidR="00711051" w:rsidRPr="00711051" w:rsidRDefault="00711051" w:rsidP="00711051">
      <w:pPr>
        <w:numPr>
          <w:ilvl w:val="0"/>
          <w:numId w:val="20"/>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Възрастните трябва да имат основни познания за безопасност на водата, както и да знаят как да реагират в случай на инцидент.</w:t>
      </w:r>
    </w:p>
    <w:p w:rsidR="00711051" w:rsidRPr="00711051" w:rsidRDefault="00711051" w:rsidP="00711051">
      <w:pPr>
        <w:spacing w:before="100" w:beforeAutospacing="1" w:after="100" w:afterAutospacing="1" w:line="240" w:lineRule="auto"/>
        <w:ind w:left="1080" w:right="1"/>
        <w:contextualSpacing/>
        <w:jc w:val="both"/>
        <w:rPr>
          <w:rFonts w:ascii="Times New Roman" w:eastAsia="Times New Roman" w:hAnsi="Times New Roman" w:cs="Times New Roman"/>
          <w:sz w:val="24"/>
          <w:szCs w:val="24"/>
          <w:lang w:eastAsia="bg-BG"/>
        </w:rPr>
      </w:pPr>
    </w:p>
    <w:p w:rsidR="00711051" w:rsidRPr="00711051" w:rsidRDefault="00711051" w:rsidP="00711051">
      <w:pPr>
        <w:numPr>
          <w:ilvl w:val="0"/>
          <w:numId w:val="22"/>
        </w:numPr>
        <w:ind w:right="1"/>
        <w:contextualSpacing/>
        <w:jc w:val="both"/>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Препоръчва се да не се влиза в езеро от деца за къпане и плуване</w:t>
      </w:r>
      <w:r w:rsidRPr="00711051">
        <w:rPr>
          <w:rFonts w:ascii="Times New Roman" w:eastAsia="Times New Roman" w:hAnsi="Times New Roman" w:cs="Times New Roman"/>
          <w:b/>
          <w:bCs/>
          <w:sz w:val="24"/>
          <w:szCs w:val="24"/>
          <w:vertAlign w:val="superscript"/>
          <w:lang w:eastAsia="bg-BG"/>
        </w:rPr>
        <w:footnoteReference w:id="19"/>
      </w:r>
    </w:p>
    <w:p w:rsidR="00711051" w:rsidRPr="00711051" w:rsidRDefault="00711051" w:rsidP="00711051">
      <w:pPr>
        <w:ind w:left="1080" w:right="1"/>
        <w:contextualSpacing/>
        <w:rPr>
          <w:rFonts w:ascii="Times New Roman" w:eastAsia="Times New Roman" w:hAnsi="Times New Roman" w:cs="Times New Roman"/>
          <w:b/>
          <w:bCs/>
          <w:sz w:val="24"/>
          <w:szCs w:val="24"/>
          <w:lang w:eastAsia="bg-BG"/>
        </w:rPr>
      </w:pP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Възрастните трябва да са на място, за да не допуснат децата да влизат в езерото, за да плуват.</w:t>
      </w:r>
    </w:p>
    <w:p w:rsidR="00711051" w:rsidRPr="00711051" w:rsidRDefault="00711051" w:rsidP="00711051">
      <w:pPr>
        <w:ind w:left="720" w:right="1"/>
        <w:rPr>
          <w:rFonts w:ascii="Times New Roman" w:eastAsia="Times New Roman" w:hAnsi="Times New Roman" w:cs="Times New Roman"/>
          <w:sz w:val="24"/>
          <w:szCs w:val="24"/>
          <w:lang w:eastAsia="bg-BG"/>
        </w:rPr>
      </w:pPr>
      <w:r w:rsidRPr="00711051">
        <w:rPr>
          <w:rFonts w:ascii="Times New Roman" w:eastAsia="Times New Roman" w:hAnsi="Times New Roman" w:cs="Times New Roman"/>
          <w:b/>
          <w:bCs/>
          <w:sz w:val="24"/>
          <w:szCs w:val="24"/>
          <w:lang w:eastAsia="bg-BG"/>
        </w:rPr>
        <w:t>3. Познаване на условията на водата</w:t>
      </w:r>
      <w:r w:rsidRPr="00711051">
        <w:rPr>
          <w:rFonts w:ascii="Times New Roman" w:eastAsia="Times New Roman" w:hAnsi="Times New Roman" w:cs="Times New Roman"/>
          <w:b/>
          <w:bCs/>
          <w:sz w:val="24"/>
          <w:szCs w:val="24"/>
          <w:vertAlign w:val="superscript"/>
          <w:lang w:eastAsia="bg-BG"/>
        </w:rPr>
        <w:footnoteReference w:id="20"/>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Важно е да се провери температурата на водата и състоянието на езерото преди да се влезе в него, тъй като някои езера могат да бъдат студени, дори в летни дни.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 се плува в езера с мътна или замърсена вода, тъй като това може да доведе до заболявания или наранявания.</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4. Не влизайте в дълбоки или неизвестни участъци</w:t>
      </w:r>
      <w:r w:rsidRPr="00711051">
        <w:rPr>
          <w:rFonts w:ascii="Times New Roman" w:eastAsia="Times New Roman" w:hAnsi="Times New Roman" w:cs="Times New Roman"/>
          <w:b/>
          <w:bCs/>
          <w:sz w:val="24"/>
          <w:szCs w:val="24"/>
          <w:vertAlign w:val="superscript"/>
          <w:lang w:eastAsia="bg-BG"/>
        </w:rPr>
        <w:footnoteReference w:id="21"/>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 трябва да се влизат в неизвестни участъци от езерото, особено в места, които не са добре проучени за дълбочина или наличие на подводни камъни и корени.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Важно е да се знае кои части от езерото са безопасни и кои не.</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5. Спасителни средства</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които не са уверени в плуването, трябва да носят спасителни жилетки или други спасителни средства.</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Спасителни средства трябва да бъдат подходящи за възрастта и теглото на детето.</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6. Не скачайте или гмуркайте в езерото</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Скачането или гмуркането в езеро може да бъде много опасно, особено ако не е известно точно колко е дълбока водата или ако има скали и други препятствия под водата.</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Ако искате да скочите или да се гмуркате, винаги проверявайте дълбочината и безопасността на мястото.</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7. Слънцезащита и подходящо облекло</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Използвайте слънцезащитен крем, ако децата ще бъдат на открито, близо до езеро, за да се предпазят от слънчеви изгаряния.</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Носете подходящо облекло за плуване и за защита от слънце (например шапки и слънчеви очила).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lastRenderedPageBreak/>
        <w:t>8. Внимавайте при слизане и качване на лодки</w:t>
      </w:r>
      <w:r w:rsidRPr="00711051">
        <w:rPr>
          <w:rFonts w:ascii="Times New Roman" w:eastAsia="Times New Roman" w:hAnsi="Times New Roman" w:cs="Times New Roman"/>
          <w:b/>
          <w:bCs/>
          <w:sz w:val="24"/>
          <w:szCs w:val="24"/>
          <w:vertAlign w:val="superscript"/>
          <w:lang w:eastAsia="bg-BG"/>
        </w:rPr>
        <w:footnoteReference w:id="22"/>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Ако се използват лодки или други водни превозни средства, трябва да се уверите, че лодката е стабилна и добре обезопасена, а децата носят спасителни жилетки.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Никога не се качвайте или слизайте от лодката, когато тя е в движение.</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9. Не влизайте в езеро при бурно време</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Не трябва да се влиза в езерото по време на буря, вятър или дъжд, тъй като тези условия могат да направят водата опасна и да увеличат риска от инциденти.</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10. Бъдете внимателни с подводни животни и растения</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 езерата могат да се намират опасни подводни животни като змии или други опасни същества. Обучете децата да бъдат внимателни и да не се опитват да хващат или пипат тези животни.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Някои растения в езерата също могат да бъдат опасни, ако се допусне контакт с тях (например отровни водни растения).</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11. Първа помощ и реакция при инцидент</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Важно е всички възрастни да са обучени да осигурят първа помощ, ако някой се удави или получи нараняване.</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 случай на инцидент, незабавно се извиква спешна помощ и се предприемат действия за спасяване на човека.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12. Избягвайте алкохол и наркотици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Никога не позволявайте на деца или ученици да се намират в близост до водата или да плуват под въздействие на алкохол или наркотици.</w:t>
      </w:r>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Спазването на тези правила ще осигури безопасността на децата и учениците при ползване на езера и ще предотврати инциденти, които могат да бъдат опасни за тяхното здраве и благосъстояние.</w:t>
      </w:r>
    </w:p>
    <w:p w:rsidR="00711051" w:rsidRPr="00711051" w:rsidRDefault="00711051" w:rsidP="00711051">
      <w:pPr>
        <w:keepNext/>
        <w:keepLines/>
        <w:shd w:val="clear" w:color="auto" w:fill="FCF9EA"/>
        <w:spacing w:before="40" w:after="0" w:line="276" w:lineRule="auto"/>
        <w:jc w:val="both"/>
        <w:outlineLvl w:val="2"/>
        <w:rPr>
          <w:rFonts w:ascii="Times New Roman" w:eastAsia="Times New Roman" w:hAnsi="Times New Roman" w:cs="Times New Roman"/>
          <w:b/>
          <w:bCs/>
          <w:sz w:val="24"/>
          <w:szCs w:val="24"/>
          <w:lang w:eastAsia="bg-BG"/>
        </w:rPr>
      </w:pPr>
      <w:bookmarkStart w:id="34" w:name="_Toc192257009"/>
      <w:bookmarkStart w:id="35" w:name="_Toc196818263"/>
      <w:r w:rsidRPr="00711051">
        <w:rPr>
          <w:rFonts w:ascii="Times New Roman" w:eastAsia="Times New Roman" w:hAnsi="Times New Roman" w:cs="Times New Roman"/>
          <w:b/>
          <w:bCs/>
          <w:sz w:val="24"/>
          <w:szCs w:val="24"/>
          <w:lang w:eastAsia="bg-BG"/>
        </w:rPr>
        <w:t xml:space="preserve">6.1.4. Правилата за безопасност на децата и учениците при ползване на </w:t>
      </w:r>
      <w:r w:rsidRPr="00711051">
        <w:rPr>
          <w:rFonts w:ascii="Times New Roman" w:eastAsia="Times New Roman" w:hAnsi="Times New Roman" w:cs="Times New Roman"/>
          <w:b/>
          <w:bCs/>
          <w:sz w:val="24"/>
          <w:szCs w:val="24"/>
          <w:u w:val="single"/>
          <w:lang w:eastAsia="bg-BG"/>
        </w:rPr>
        <w:t>язовири и микроязовири</w:t>
      </w:r>
      <w:bookmarkEnd w:id="34"/>
      <w:bookmarkEnd w:id="35"/>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Безопасността на децата и учениците при ползване на язовири и микроязовири е от особено значение, за да се избегнат инциденти и злополуки. Следват някои основни правила и мерки за безопасност:</w:t>
      </w:r>
    </w:p>
    <w:p w:rsidR="00711051" w:rsidRPr="00711051" w:rsidRDefault="00711051" w:rsidP="00711051">
      <w:pPr>
        <w:ind w:left="12"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1. Никога не влизай в язовира без възрастен надзор</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и учениците не трябва да влизат в водата без присъствието на възрастен, който да ги наблюдава. Възрастният трябва да бъде внимателен и подготвен за всякакви спешни ситуации.</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2. Избягвай да плуваш близо до язовира</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Плуването в язовири може да бъде опасно, поради силни течения, неочаквани дълбочини и потенциални замърсители във водата. Децата трябва да се обучават да избягват плуването в такива водни обекти, освен ако не е осигурено подходящо оборудване и наблюдение.</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lastRenderedPageBreak/>
        <w:t>3. Не играй около язовирните стени и канали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Язовирните стени и канали са опасни, тъй като могат да имат хлъзгави повърхности, а също така и течения, които могат да завлекат не внимателния човек. Необходимо е да се избягва играта в тези области.</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4. Спазвай знаците и предупрежденията</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 повечето язовири има информационни табели и предупредителни знаци, които трябва да се спазват. Те могат да предупреждават за опасности като повишени води, рискове от наводнения или отворени шлюзове.</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5. Не използвай неуправляеми плавателни средства</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и учениците не трябва да използват лодки, канута или други плавателни средства без подходящо обучение и възрастен надзор. Използването на надуваеми играчки също е рисковано, тъй като те могат да се повредят лесно и да доведат до инциденти.</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6. Обучение по първа помощ и безопасност около вода</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Добре е да се обучават деца и ученици как да реагират в аварийни ситуации и да знаят основни техники за първа помощ. Трябва да бъдат информирани за признаците на удавяне и как да се избегне паника.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7. Спазване на местните наредби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Важно е да се запознаете с местните правила и разпоредби, свързани с използването на язовири и микроязовири. Някои водоеми може да имат ограничения за достъп или определени часови периоди за безопасност.</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8. Носене на спасителни жилетки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Ако децата или учениците използват водни съоръжения (лодки, канута и др.), задължително трябва да носят спасителни жилетки. Това осигурява защита, ако настъпи инцидент.</w:t>
      </w:r>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Спазването на тези основни правила ще помогне за осигуряване на безопасността на децата и учениците около язовири и микроязовири.</w:t>
      </w:r>
    </w:p>
    <w:p w:rsidR="00711051" w:rsidRPr="00711051" w:rsidRDefault="00711051" w:rsidP="00711051">
      <w:pPr>
        <w:keepNext/>
        <w:keepLines/>
        <w:shd w:val="clear" w:color="auto" w:fill="FCF9EA"/>
        <w:spacing w:before="40" w:after="0" w:line="276" w:lineRule="auto"/>
        <w:jc w:val="both"/>
        <w:outlineLvl w:val="2"/>
        <w:rPr>
          <w:rFonts w:ascii="Times New Roman" w:eastAsia="Times New Roman" w:hAnsi="Times New Roman" w:cs="Times New Roman"/>
          <w:b/>
          <w:bCs/>
          <w:sz w:val="24"/>
          <w:szCs w:val="24"/>
          <w:lang w:eastAsia="bg-BG"/>
        </w:rPr>
      </w:pPr>
      <w:bookmarkStart w:id="36" w:name="_Toc192257010"/>
      <w:bookmarkStart w:id="37" w:name="_Toc196818264"/>
      <w:r w:rsidRPr="00711051">
        <w:rPr>
          <w:rFonts w:ascii="Times New Roman" w:eastAsia="Times New Roman" w:hAnsi="Times New Roman" w:cs="Times New Roman"/>
          <w:b/>
          <w:bCs/>
          <w:sz w:val="24"/>
          <w:szCs w:val="24"/>
          <w:lang w:eastAsia="bg-BG"/>
        </w:rPr>
        <w:t xml:space="preserve">6.1.5. Безопасността на децата и учениците при ползване на </w:t>
      </w:r>
      <w:r w:rsidRPr="00711051">
        <w:rPr>
          <w:rFonts w:ascii="Times New Roman" w:eastAsia="Times New Roman" w:hAnsi="Times New Roman" w:cs="Times New Roman"/>
          <w:b/>
          <w:bCs/>
          <w:sz w:val="24"/>
          <w:szCs w:val="24"/>
          <w:u w:val="single"/>
          <w:lang w:eastAsia="bg-BG"/>
        </w:rPr>
        <w:t>открити канали</w:t>
      </w:r>
      <w:bookmarkEnd w:id="36"/>
      <w:bookmarkEnd w:id="37"/>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Безопасността на децата и учениците при ползване на открити канали е изключително важна, тъй като тези водни обекти могат да бъдат опасни поради силни течения, замърсявания и невъзможност за контрол над водните нива. Ето някои основни правила за безопасност:</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1. Не влизай в канала без възрастен надзор</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не трябва да влизат в открити канали без присъствието на възрастен, който да ги наблюдава. Наблюдението трябва да бъде постоянно, за да се предотвратят инциденти.</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2. Избягвай играта около каналите</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Играенето около откритите канали е много опасно, особено близо до водата, тъй като каналите често имат хлъзгави стени и неравни повърхности, които могат да доведат до падания. Децата трябва да бъдат научени да стоят на безопасно разстояние от канала.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3. Не плувай в открития канал</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lastRenderedPageBreak/>
        <w:t>Плуването в открит канал е рисковано заради силните и непредсказуеми течения. Децата и учениците не трябва да плуват в такива водоеми, дори ако водата изглежда спокойна.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4. Не играй с предмети, които могат да попаднат във водата</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се въздържат от хвърляне на предмети в канала, тъй като това може да създаде опасност от запушване или промяна на течението. Освен това, някои предмети могат да се носят по течението и да създадат затруднения за безопасността.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5. Спазвай предупредителни знаци и бариери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Каналите често имат предупредителни знаци, които показват опасни места или зоните с опасни течения. Те трябва да бъдат спазвани стриктно, за да се предотвратят инциденти.</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6. Обучение по първа помощ</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бъдат обучени как да реагират при инцидент, като удавяне или падане в канала. Знанията за основни техники за първа помощ могат да спасят живот. Родителите и учителите трябва да обяснят какво да правят в случай на бедствие.</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7. Не преминавай през канала по мостове или стълбища без възрастен</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При преминаване през мостове или стълбища, които водят към канала, децата трябва да бъдат внимателни, за да избегнат подхлъзвания и падания. Те трябва да бъдат придружавани от възрастен, който да ги наблюдава.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8. Не се приближавай до покритите канали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Покритите канали, особено тези с решетки или капаци, могат да изглеждат безопасни, но могат да бъдат нестабилни. Децата трябва да бъдат обучени да не се доближават до тези зони, защото могат да се случат неочаквани инциденти.</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9. Носене на предпазни средства (ако се използват плавателни средства)</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Ако канала се използва за плаване, децата трябва да носят спасителни жилетки или други защитни средства, за да бъдат защитени в случай на инцидент.</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10. Информираност за климатични условия и промени в водния режим</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бъдат информирани за промените в водното ниво и за рисковете от наводнения или бързи течения, които могат да възникнат при силни дъждове или топене на сняг. Учениците и децата трябва да знаят кога е безопасно да бъдат около канала и кога да се въздържат.</w:t>
      </w:r>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Създаването на навици за безопасност и обучение за правилата ще намали рисковете и ще помогне на децата да разпознават опасностите, свързани с откритите канали.</w:t>
      </w:r>
    </w:p>
    <w:p w:rsidR="00711051" w:rsidRPr="00711051" w:rsidRDefault="00711051" w:rsidP="00711051">
      <w:pPr>
        <w:keepNext/>
        <w:keepLines/>
        <w:shd w:val="clear" w:color="auto" w:fill="FCF9EA"/>
        <w:spacing w:before="40" w:after="0" w:line="276" w:lineRule="auto"/>
        <w:jc w:val="both"/>
        <w:outlineLvl w:val="2"/>
        <w:rPr>
          <w:rFonts w:ascii="Times New Roman" w:eastAsia="Times New Roman" w:hAnsi="Times New Roman" w:cs="Times New Roman"/>
          <w:b/>
          <w:bCs/>
          <w:sz w:val="24"/>
          <w:szCs w:val="24"/>
          <w:lang w:eastAsia="bg-BG"/>
        </w:rPr>
      </w:pPr>
      <w:bookmarkStart w:id="38" w:name="_Toc192257011"/>
      <w:bookmarkStart w:id="39" w:name="_Toc196818265"/>
      <w:r w:rsidRPr="00711051">
        <w:rPr>
          <w:rFonts w:ascii="Times New Roman" w:eastAsia="Times New Roman" w:hAnsi="Times New Roman" w:cs="Times New Roman"/>
          <w:b/>
          <w:bCs/>
          <w:sz w:val="24"/>
          <w:szCs w:val="24"/>
          <w:lang w:eastAsia="bg-BG"/>
        </w:rPr>
        <w:t xml:space="preserve">6.1.6. Безопасността на децата и учениците при ползване на </w:t>
      </w:r>
      <w:r w:rsidRPr="00711051">
        <w:rPr>
          <w:rFonts w:ascii="Times New Roman" w:eastAsia="Times New Roman" w:hAnsi="Times New Roman" w:cs="Times New Roman"/>
          <w:b/>
          <w:bCs/>
          <w:sz w:val="24"/>
          <w:szCs w:val="24"/>
          <w:u w:val="single"/>
          <w:lang w:eastAsia="bg-BG"/>
        </w:rPr>
        <w:t>крайбрежните морски води</w:t>
      </w:r>
      <w:bookmarkEnd w:id="38"/>
      <w:bookmarkEnd w:id="39"/>
    </w:p>
    <w:p w:rsidR="00711051" w:rsidRPr="00711051" w:rsidRDefault="00711051" w:rsidP="00711051">
      <w:pPr>
        <w:spacing w:before="100" w:beforeAutospacing="1" w:after="100" w:afterAutospacing="1" w:line="240" w:lineRule="auto"/>
        <w:ind w:right="1" w:firstLine="708"/>
        <w:jc w:val="both"/>
        <w:rPr>
          <w:rFonts w:ascii="Times New Roman" w:eastAsia="Times New Roman" w:hAnsi="Times New Roman" w:cs="Times New Roman"/>
          <w:sz w:val="24"/>
          <w:szCs w:val="24"/>
          <w:lang w:eastAsia="bg-BG"/>
        </w:rPr>
      </w:pPr>
      <w:bookmarkStart w:id="40" w:name="_Hlk190761452"/>
      <w:r w:rsidRPr="00711051">
        <w:rPr>
          <w:rFonts w:ascii="Times New Roman" w:eastAsia="Times New Roman" w:hAnsi="Times New Roman" w:cs="Times New Roman"/>
          <w:sz w:val="24"/>
          <w:szCs w:val="24"/>
          <w:lang w:eastAsia="bg-BG"/>
        </w:rPr>
        <w:t>Безопасността на децата и учениците при ползване на крайбрежните морски води</w:t>
      </w:r>
      <w:bookmarkEnd w:id="40"/>
      <w:r w:rsidRPr="00711051">
        <w:rPr>
          <w:rFonts w:ascii="Times New Roman" w:eastAsia="Times New Roman" w:hAnsi="Times New Roman" w:cs="Times New Roman"/>
          <w:sz w:val="24"/>
          <w:szCs w:val="24"/>
          <w:lang w:eastAsia="bg-BG"/>
        </w:rPr>
        <w:t xml:space="preserve"> е от решаващо значение, тъй като морето може да представлява различни опасности, като силни течения, вълни и промени във времето. Ето някои основни правила и мерки за безопасност:</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lastRenderedPageBreak/>
        <w:t>1. Никога не плувай без възрастен надзор</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и учениците не трябва да плуват без възрастен, който да ги наблюдава. Дори ако водата изглежда спокойна, винаги е важно да има възрастен, който да бъде нащрек за всякакви потенциални опасности.</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2. Спазвай сигнализацията и предупредителните знаци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На плажовете често има табели и знаци, които предупреждават за опасности като силни течения, вълни или плуващи опасности (например медузи). Тези знаци трябва да се спазват стриктно. Важно е да се обърне внимание на знаците за сигурност и на промените в условията на времето.</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3. Избягвай да плуваш в райони с опасни течения</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Опасни морски течения, като рипови (rip currents), могат да бъдат много опасни за деца и възрастни. Децата трябва да бъдат информирани как да разпознават тези течения и как да се справят с тях в случай на инцидент. Важно е да се избягва плуването в места, където няма спасители или е маркирано като опасно.</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4. Носенето на спасителни жилетки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Ако децата и учениците използват плавателни средства като лодки, каяци, сърфове и др., те трябва да носят спасителни жилетки. Това важи особено за начинаещи, които не са свикнали с водата.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5. Не играй в опасни или дълбоки води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не трябва да се излагат на риск, като играят в дълбоки води или в зони с бързо нарастващи вълни. Те трябва да се играят само в зоните, които са безопасни и които са обозначени за деца.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6. Познавай безопасните зони за плуване</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Много плажове имат определени зони за плуване, които са отделени с буи или маркировки. Децата трябва да останат в тези зони и да не се отдалечават от тях, за да избегнат навлизане в по-дълбоки води или опасни места.</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7. Никога не играй около скали или крайбрежни рифове</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Скали, рифове и други географски образувания в морето могат да бъдат хлъзгави и да представляват опасност за децата. Играенето на или около тези места може да доведе до падания и наранявания.</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8. Бъди внимателен с морски обитатели</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Децата трябва да бъдат наясно с потенциално опасни морски обитатели като медузи, морски звезди, морски таралежи или други водни животни. Те трябва да се държат далеч от тях, за да избегнат ужилвания или наранявания.</w:t>
      </w:r>
    </w:p>
    <w:p w:rsidR="00711051" w:rsidRPr="00711051" w:rsidRDefault="00711051" w:rsidP="00711051">
      <w:pPr>
        <w:ind w:right="1" w:firstLine="708"/>
        <w:rPr>
          <w:rFonts w:ascii="Times New Roman" w:eastAsia="Times New Roman" w:hAnsi="Times New Roman" w:cs="Times New Roman"/>
          <w:b/>
          <w:bCs/>
          <w:sz w:val="24"/>
          <w:szCs w:val="24"/>
          <w:lang w:eastAsia="bg-BG"/>
        </w:rPr>
      </w:pPr>
      <w:r w:rsidRPr="00711051">
        <w:rPr>
          <w:rFonts w:ascii="Times New Roman" w:eastAsia="Times New Roman" w:hAnsi="Times New Roman" w:cs="Times New Roman"/>
          <w:b/>
          <w:bCs/>
          <w:sz w:val="24"/>
          <w:szCs w:val="24"/>
          <w:lang w:eastAsia="bg-BG"/>
        </w:rPr>
        <w:t>9. Не плувай след хранене или при физическо неразположение</w:t>
      </w:r>
    </w:p>
    <w:p w:rsidR="00711051" w:rsidRPr="00711051" w:rsidRDefault="00711051" w:rsidP="00711051">
      <w:pPr>
        <w:numPr>
          <w:ilvl w:val="0"/>
          <w:numId w:val="21"/>
        </w:numPr>
        <w:spacing w:before="100" w:beforeAutospacing="1" w:after="100" w:afterAutospacing="1" w:line="240" w:lineRule="auto"/>
        <w:ind w:right="1"/>
        <w:contextualSpacing/>
        <w:jc w:val="both"/>
        <w:rPr>
          <w:rFonts w:ascii="Times New Roman" w:eastAsia="Times New Roman" w:hAnsi="Times New Roman" w:cs="Times New Roman"/>
          <w:sz w:val="24"/>
          <w:szCs w:val="24"/>
          <w:lang w:eastAsia="bg-BG"/>
        </w:rPr>
      </w:pPr>
      <w:r w:rsidRPr="00711051">
        <w:rPr>
          <w:rFonts w:ascii="Times New Roman" w:eastAsia="Times New Roman" w:hAnsi="Times New Roman" w:cs="Times New Roman"/>
          <w:sz w:val="24"/>
          <w:szCs w:val="24"/>
          <w:lang w:eastAsia="bg-BG"/>
        </w:rPr>
        <w:t>Препоръчва се да не се плува веднага след хранене, както и ако детето не се чувства добре, има болки или е изморено. Това намалява риска от неприятни инциденти в морето.</w:t>
      </w:r>
    </w:p>
    <w:p w:rsidR="00C074D9" w:rsidRDefault="00C074D9">
      <w:bookmarkStart w:id="41" w:name="_GoBack"/>
      <w:bookmarkEnd w:id="41"/>
    </w:p>
    <w:sectPr w:rsidR="00C074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08A" w:rsidRDefault="0043308A" w:rsidP="00711051">
      <w:pPr>
        <w:spacing w:after="0" w:line="240" w:lineRule="auto"/>
      </w:pPr>
      <w:r>
        <w:separator/>
      </w:r>
    </w:p>
  </w:endnote>
  <w:endnote w:type="continuationSeparator" w:id="0">
    <w:p w:rsidR="0043308A" w:rsidRDefault="0043308A" w:rsidP="00711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Old Standard">
    <w:charset w:val="00"/>
    <w:family w:val="auto"/>
    <w:pitch w:val="default"/>
  </w:font>
  <w:font w:name="Rubik Light Bold">
    <w:altName w:val="Courier New"/>
    <w:charset w:val="00"/>
    <w:family w:val="auto"/>
    <w:pitch w:val="default"/>
  </w:font>
  <w:font w:name="Rubik Light">
    <w:altName w:val="Courier New"/>
    <w:charset w:val="00"/>
    <w:family w:val="auto"/>
    <w:pitch w:val="default"/>
  </w:font>
  <w:font w:name="Open Sans Bold">
    <w:charset w:val="00"/>
    <w:family w:val="auto"/>
    <w:pitch w:val="default"/>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08A" w:rsidRDefault="0043308A" w:rsidP="00711051">
      <w:pPr>
        <w:spacing w:after="0" w:line="240" w:lineRule="auto"/>
      </w:pPr>
      <w:r>
        <w:separator/>
      </w:r>
    </w:p>
  </w:footnote>
  <w:footnote w:type="continuationSeparator" w:id="0">
    <w:p w:rsidR="0043308A" w:rsidRDefault="0043308A" w:rsidP="00711051">
      <w:pPr>
        <w:spacing w:after="0" w:line="240" w:lineRule="auto"/>
      </w:pPr>
      <w:r>
        <w:continuationSeparator/>
      </w:r>
    </w:p>
  </w:footnote>
  <w:footnote w:id="1">
    <w:p w:rsidR="00711051" w:rsidRDefault="00711051" w:rsidP="00711051">
      <w:pPr>
        <w:pStyle w:val="a3"/>
        <w:jc w:val="both"/>
      </w:pPr>
      <w:r>
        <w:rPr>
          <w:rStyle w:val="a5"/>
        </w:rPr>
        <w:footnoteRef/>
      </w:r>
      <w:r>
        <w:t xml:space="preserve"> </w:t>
      </w:r>
      <w:r w:rsidRPr="000B5607">
        <w:rPr>
          <w:rFonts w:ascii="Times New Roman" w:hAnsi="Times New Roman"/>
        </w:rPr>
        <w:t>НАРЕДБА № 1 от 12 януари 2009 г. за условията и реда за устройството и безопасността на площадките за игра</w:t>
      </w:r>
    </w:p>
  </w:footnote>
  <w:footnote w:id="2">
    <w:p w:rsidR="00711051" w:rsidRPr="000B5607" w:rsidRDefault="00711051" w:rsidP="00711051">
      <w:pPr>
        <w:pStyle w:val="a3"/>
        <w:rPr>
          <w:rFonts w:ascii="Times New Roman" w:hAnsi="Times New Roman"/>
        </w:rPr>
      </w:pPr>
      <w:r w:rsidRPr="000B5607">
        <w:rPr>
          <w:rStyle w:val="a5"/>
          <w:rFonts w:ascii="Times New Roman" w:hAnsi="Times New Roman"/>
        </w:rPr>
        <w:footnoteRef/>
      </w:r>
      <w:r>
        <w:rPr>
          <w:rFonts w:ascii="Times New Roman" w:hAnsi="Times New Roman"/>
        </w:rPr>
        <w:t xml:space="preserve"> </w:t>
      </w:r>
      <w:r w:rsidRPr="000B5607">
        <w:rPr>
          <w:rFonts w:ascii="Times New Roman" w:hAnsi="Times New Roman"/>
        </w:rPr>
        <w:t>Наредба за съществените изисквания и оценяване на съответствието на машини.</w:t>
      </w:r>
    </w:p>
  </w:footnote>
  <w:footnote w:id="3">
    <w:p w:rsidR="00711051" w:rsidRPr="000B5607" w:rsidRDefault="00711051" w:rsidP="00711051">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Чл. 79 от Закона за движението по пътищата</w:t>
      </w:r>
    </w:p>
  </w:footnote>
  <w:footnote w:id="4">
    <w:p w:rsidR="00711051" w:rsidRPr="000B5607" w:rsidRDefault="00711051" w:rsidP="00711051">
      <w:pPr>
        <w:jc w:val="both"/>
        <w:rPr>
          <w:rFonts w:ascii="Times New Roman" w:hAnsi="Times New Roman"/>
          <w:sz w:val="20"/>
          <w:szCs w:val="20"/>
          <w:vertAlign w:val="superscript"/>
        </w:rPr>
      </w:pPr>
      <w:r>
        <w:rPr>
          <w:rStyle w:val="a5"/>
        </w:rPr>
        <w:footnoteRef/>
      </w:r>
      <w:r>
        <w:t xml:space="preserve"> </w:t>
      </w:r>
      <w:r w:rsidRPr="000B5607">
        <w:rPr>
          <w:rFonts w:ascii="Times New Roman" w:hAnsi="Times New Roman"/>
        </w:rPr>
        <w:t>Н</w:t>
      </w:r>
      <w:r w:rsidRPr="000B5607">
        <w:rPr>
          <w:rFonts w:ascii="Times New Roman" w:hAnsi="Times New Roman"/>
          <w:sz w:val="20"/>
          <w:szCs w:val="20"/>
        </w:rPr>
        <w:t xml:space="preserve">аредба за съществените изисквания и оценяване на съответствието на пиротехническите изделия </w:t>
      </w:r>
    </w:p>
    <w:p w:rsidR="00711051" w:rsidRDefault="00711051" w:rsidP="00711051">
      <w:pPr>
        <w:pStyle w:val="a3"/>
      </w:pPr>
    </w:p>
  </w:footnote>
  <w:footnote w:id="5">
    <w:p w:rsidR="00711051" w:rsidRPr="000B5607" w:rsidRDefault="00711051" w:rsidP="00711051">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играчки</w:t>
      </w:r>
    </w:p>
  </w:footnote>
  <w:footnote w:id="6">
    <w:p w:rsidR="00711051" w:rsidRPr="000B5607" w:rsidRDefault="00711051" w:rsidP="00711051">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радиосъоръженията.</w:t>
      </w:r>
    </w:p>
  </w:footnote>
  <w:footnote w:id="7">
    <w:p w:rsidR="00711051" w:rsidRPr="000B5607" w:rsidRDefault="00711051" w:rsidP="00711051">
      <w:pPr>
        <w:pStyle w:val="a3"/>
        <w:jc w:val="both"/>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асансьорите и </w:t>
      </w:r>
      <w:r w:rsidRPr="000B5607">
        <w:rPr>
          <w:rFonts w:ascii="Times New Roman" w:hAnsi="Times New Roman"/>
          <w:bCs/>
          <w:spacing w:val="-2"/>
          <w:shd w:val="clear" w:color="auto" w:fill="FFFFFF"/>
        </w:rPr>
        <w:t>асансьорите и на предпазните устройства за асансьори</w:t>
      </w:r>
    </w:p>
  </w:footnote>
  <w:footnote w:id="8">
    <w:p w:rsidR="00711051" w:rsidRPr="000B5607" w:rsidRDefault="00711051" w:rsidP="00711051">
      <w:pPr>
        <w:pStyle w:val="a3"/>
        <w:jc w:val="both"/>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w:t>
      </w:r>
      <w:r w:rsidRPr="000B5607">
        <w:rPr>
          <w:rFonts w:ascii="Times New Roman" w:hAnsi="Times New Roman"/>
          <w:spacing w:val="-2"/>
          <w:szCs w:val="24"/>
        </w:rPr>
        <w:t xml:space="preserve">Наредба за съществените изисквания и оценяване съответствието на </w:t>
      </w:r>
      <w:r w:rsidRPr="000B5607">
        <w:rPr>
          <w:rFonts w:ascii="Times New Roman" w:hAnsi="Times New Roman"/>
          <w:bCs/>
          <w:spacing w:val="-2"/>
          <w:szCs w:val="24"/>
          <w:shd w:val="clear" w:color="auto" w:fill="FFFFFF"/>
        </w:rPr>
        <w:t>електрически съоръжения, предназначени за използване в определени граници на напрежението</w:t>
      </w:r>
    </w:p>
  </w:footnote>
  <w:footnote w:id="9">
    <w:p w:rsidR="00711051" w:rsidRPr="000B5607" w:rsidRDefault="00711051" w:rsidP="00711051">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Закона за тютюна, тютюневите и свързаните с тях изделия</w:t>
      </w:r>
    </w:p>
  </w:footnote>
  <w:footnote w:id="10">
    <w:p w:rsidR="00711051" w:rsidRDefault="00711051" w:rsidP="00711051">
      <w:pPr>
        <w:pStyle w:val="a3"/>
      </w:pPr>
      <w:r>
        <w:rPr>
          <w:rStyle w:val="a5"/>
        </w:rPr>
        <w:footnoteRef/>
      </w:r>
      <w:r>
        <w:t xml:space="preserve"> Чл. 8, ал. 1 и чл. 10, ал.1 т. 5 от Наредбата за специализирана закрила на деца на обществени места</w:t>
      </w:r>
    </w:p>
  </w:footnote>
  <w:footnote w:id="11">
    <w:p w:rsidR="00711051" w:rsidRDefault="00711051" w:rsidP="00711051">
      <w:pPr>
        <w:pStyle w:val="a3"/>
      </w:pPr>
      <w:r>
        <w:rPr>
          <w:rStyle w:val="a5"/>
        </w:rPr>
        <w:footnoteRef/>
      </w:r>
      <w:r>
        <w:t xml:space="preserve"> </w:t>
      </w:r>
      <w:r>
        <w:rPr>
          <w:rFonts w:ascii="Times New Roman" w:eastAsia="Calibri" w:hAnsi="Times New Roman"/>
        </w:rPr>
        <w:t>Ч</w:t>
      </w:r>
      <w:r w:rsidRPr="00333867">
        <w:rPr>
          <w:rFonts w:ascii="Times New Roman" w:eastAsia="Calibri" w:hAnsi="Times New Roman"/>
        </w:rPr>
        <w:t>л. 56, ал. 1 от Закона за частната охранителна дейност</w:t>
      </w:r>
    </w:p>
  </w:footnote>
  <w:footnote w:id="12">
    <w:p w:rsidR="00711051" w:rsidRPr="0070289B" w:rsidRDefault="00711051" w:rsidP="00711051">
      <w:pPr>
        <w:pStyle w:val="a3"/>
        <w:jc w:val="both"/>
        <w:rPr>
          <w:rFonts w:ascii="Times New Roman" w:hAnsi="Times New Roman"/>
        </w:rPr>
      </w:pPr>
      <w:r>
        <w:rPr>
          <w:rStyle w:val="a5"/>
        </w:rPr>
        <w:footnoteRef/>
      </w:r>
      <w:r>
        <w:t xml:space="preserve"> </w:t>
      </w:r>
      <w:r w:rsidRPr="0070289B">
        <w:rPr>
          <w:rFonts w:ascii="Times New Roman" w:hAnsi="Times New Roman"/>
        </w:rPr>
        <w:t>Приложение №2 към чл. 13, ал. 3 от Закона за опазване на обществения ред при провеждане на спортни мероприятия</w:t>
      </w:r>
    </w:p>
  </w:footnote>
  <w:footnote w:id="13">
    <w:p w:rsidR="00711051" w:rsidRPr="000B5607" w:rsidRDefault="00711051" w:rsidP="00711051">
      <w:pPr>
        <w:pStyle w:val="Bodytext20"/>
        <w:shd w:val="clear" w:color="auto" w:fill="auto"/>
        <w:tabs>
          <w:tab w:val="left" w:pos="0"/>
        </w:tabs>
        <w:spacing w:after="0" w:line="240" w:lineRule="auto"/>
        <w:ind w:right="-1"/>
        <w:rPr>
          <w:rFonts w:ascii="Times New Roman" w:hAnsi="Times New Roman"/>
          <w:iCs/>
          <w:sz w:val="20"/>
        </w:rPr>
      </w:pPr>
      <w:r w:rsidRPr="000B5607">
        <w:rPr>
          <w:rStyle w:val="a5"/>
          <w:rFonts w:ascii="Times New Roman" w:hAnsi="Times New Roman"/>
          <w:sz w:val="20"/>
        </w:rPr>
        <w:footnoteRef/>
      </w:r>
      <w:r w:rsidRPr="000B5607">
        <w:rPr>
          <w:rFonts w:ascii="Times New Roman" w:hAnsi="Times New Roman"/>
          <w:sz w:val="20"/>
        </w:rPr>
        <w:t xml:space="preserve"> </w:t>
      </w:r>
      <w:r w:rsidRPr="000B5607">
        <w:rPr>
          <w:rFonts w:ascii="Times New Roman" w:hAnsi="Times New Roman"/>
          <w:iCs/>
          <w:sz w:val="20"/>
        </w:rPr>
        <w:t xml:space="preserve">Правилата са публикувани на официалната електронна страница на Държавната агенция за закрила на детето и са разработени от ДАЗД в партньорство с Главна дирекция „Борба с организираната престъпност”, Национален център за безопасен интернет, Министерство на образованието и науката, Регионално управление на образованието – София-град, ръководители на образователни институции от Съюза на работодателите в системата на народната просвета в България, Сдружението на директорите в средното образование на Р България. </w:t>
      </w:r>
    </w:p>
    <w:p w:rsidR="00711051" w:rsidRPr="000B5607" w:rsidRDefault="00711051" w:rsidP="00711051">
      <w:pPr>
        <w:pStyle w:val="a3"/>
        <w:ind w:right="-1"/>
        <w:jc w:val="both"/>
        <w:rPr>
          <w:rFonts w:ascii="Times New Roman" w:hAnsi="Times New Roman"/>
          <w:i/>
          <w:iCs/>
          <w:sz w:val="22"/>
          <w:szCs w:val="22"/>
        </w:rPr>
      </w:pPr>
    </w:p>
  </w:footnote>
  <w:footnote w:id="14">
    <w:p w:rsidR="00711051" w:rsidRPr="00443CF9" w:rsidRDefault="00711051" w:rsidP="00711051">
      <w:pPr>
        <w:pStyle w:val="a3"/>
      </w:pPr>
      <w:r>
        <w:rPr>
          <w:rStyle w:val="a5"/>
        </w:rPr>
        <w:footnoteRef/>
      </w:r>
      <w:r>
        <w:t xml:space="preserve"> Материал на „Национална електрическа компания“ ЕАД </w:t>
      </w:r>
    </w:p>
  </w:footnote>
  <w:footnote w:id="15">
    <w:p w:rsidR="00711051" w:rsidRPr="000B5607" w:rsidRDefault="00711051" w:rsidP="00711051">
      <w:pPr>
        <w:pStyle w:val="a3"/>
        <w:jc w:val="both"/>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Наредба</w:t>
      </w:r>
      <w:r w:rsidRPr="000B5607">
        <w:rPr>
          <w:rFonts w:ascii="Times New Roman" w:hAnsi="Times New Roman"/>
          <w:color w:val="000000"/>
        </w:rPr>
        <w:t xml:space="preserve"> за </w:t>
      </w:r>
      <w:r w:rsidRPr="000B5607">
        <w:rPr>
          <w:rFonts w:ascii="Times New Roman" w:hAnsi="Times New Roman"/>
        </w:rPr>
        <w:t xml:space="preserve">водноспасителната </w:t>
      </w:r>
      <w:r w:rsidRPr="000B5607">
        <w:rPr>
          <w:rFonts w:ascii="Times New Roman" w:hAnsi="Times New Roman"/>
          <w:color w:val="000000"/>
        </w:rPr>
        <w:t>дейност и обезопасяването на водните площи и басейните за обществено ползване</w:t>
      </w:r>
    </w:p>
  </w:footnote>
  <w:footnote w:id="16">
    <w:p w:rsidR="00711051" w:rsidRPr="00711051" w:rsidRDefault="00711051" w:rsidP="00711051">
      <w:pPr>
        <w:jc w:val="both"/>
        <w:rPr>
          <w:rFonts w:cs="Aptos"/>
          <w:color w:val="FF0000"/>
        </w:rPr>
      </w:pPr>
      <w:r>
        <w:rPr>
          <w:rStyle w:val="a5"/>
        </w:rPr>
        <w:footnoteRef/>
      </w:r>
      <w:r>
        <w:t xml:space="preserve"> </w:t>
      </w:r>
      <w:r w:rsidRPr="00443CF9">
        <w:rPr>
          <w:rFonts w:ascii="Times New Roman" w:hAnsi="Times New Roman"/>
          <w:sz w:val="20"/>
          <w:szCs w:val="20"/>
        </w:rPr>
        <w:t>Водно спасителната служба на БЧК препоръчва, във връзка с намаляване на водния травматизъм при децата, забраната за къпане и плуване на деца в язовири, микроязовири, езера, канали, кладенци и др. неохраняеми водни площи, т.е. всички водни площи на които няма организирана водно-спасителна дейност.</w:t>
      </w:r>
      <w:r w:rsidRPr="00711051">
        <w:rPr>
          <w:rFonts w:cs="Aptos"/>
        </w:rPr>
        <w:t xml:space="preserve"> </w:t>
      </w:r>
    </w:p>
    <w:p w:rsidR="00711051" w:rsidRDefault="00711051" w:rsidP="00711051">
      <w:pPr>
        <w:pStyle w:val="a3"/>
      </w:pPr>
    </w:p>
  </w:footnote>
  <w:footnote w:id="17">
    <w:p w:rsidR="00711051" w:rsidRDefault="00711051" w:rsidP="00711051">
      <w:pPr>
        <w:pStyle w:val="a3"/>
      </w:pPr>
      <w:r>
        <w:rPr>
          <w:rStyle w:val="a5"/>
        </w:rPr>
        <w:footnoteRef/>
      </w:r>
      <w:r>
        <w:t xml:space="preserve"> Препоръка на Водно спасителната служба на БЧК</w:t>
      </w:r>
    </w:p>
  </w:footnote>
  <w:footnote w:id="18">
    <w:p w:rsidR="00711051" w:rsidRDefault="00711051" w:rsidP="00711051">
      <w:pPr>
        <w:pStyle w:val="a3"/>
        <w:jc w:val="both"/>
      </w:pPr>
      <w:r>
        <w:rPr>
          <w:rStyle w:val="a5"/>
        </w:rPr>
        <w:footnoteRef/>
      </w:r>
      <w:r>
        <w:t xml:space="preserve"> Водно спасителната служба на БЧК не препоръчва плуването, къпането, скачането и гмуркането в езера, язовири и микроязовири, заради опасностите, които се крият в тези водоеми.</w:t>
      </w:r>
    </w:p>
  </w:footnote>
  <w:footnote w:id="19">
    <w:p w:rsidR="00711051" w:rsidRDefault="00711051" w:rsidP="00711051">
      <w:pPr>
        <w:pStyle w:val="a3"/>
      </w:pPr>
      <w:r>
        <w:rPr>
          <w:rStyle w:val="a5"/>
        </w:rPr>
        <w:footnoteRef/>
      </w:r>
      <w:r>
        <w:t xml:space="preserve"> Препоръка на Водно спасителната служба на БЧК</w:t>
      </w:r>
    </w:p>
  </w:footnote>
  <w:footnote w:id="20">
    <w:p w:rsidR="00711051" w:rsidRDefault="00711051" w:rsidP="00711051">
      <w:pPr>
        <w:pStyle w:val="a3"/>
      </w:pPr>
      <w:r>
        <w:rPr>
          <w:rStyle w:val="a5"/>
        </w:rPr>
        <w:footnoteRef/>
      </w:r>
      <w:r>
        <w:t xml:space="preserve"> Препоръка за родители, придружители на деца, професионалисти</w:t>
      </w:r>
    </w:p>
  </w:footnote>
  <w:footnote w:id="21">
    <w:p w:rsidR="00711051" w:rsidRDefault="00711051" w:rsidP="00711051">
      <w:pPr>
        <w:pStyle w:val="a3"/>
      </w:pPr>
      <w:r>
        <w:rPr>
          <w:rStyle w:val="a5"/>
        </w:rPr>
        <w:footnoteRef/>
      </w:r>
      <w:r>
        <w:t xml:space="preserve"> Препоръка за родители, придружители на деца, професионалисти</w:t>
      </w:r>
    </w:p>
  </w:footnote>
  <w:footnote w:id="22">
    <w:p w:rsidR="00711051" w:rsidRDefault="00711051" w:rsidP="00711051">
      <w:pPr>
        <w:pStyle w:val="a3"/>
      </w:pPr>
      <w:r>
        <w:rPr>
          <w:rStyle w:val="a5"/>
        </w:rPr>
        <w:footnoteRef/>
      </w:r>
      <w:r>
        <w:t xml:space="preserve"> Препоръка за родители, придружители на деца, професионалисти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286"/>
    <w:multiLevelType w:val="hybridMultilevel"/>
    <w:tmpl w:val="D9505E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602318B"/>
    <w:multiLevelType w:val="hybridMultilevel"/>
    <w:tmpl w:val="2D6E3F0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6187C20"/>
    <w:multiLevelType w:val="hybridMultilevel"/>
    <w:tmpl w:val="4D7CDF5E"/>
    <w:lvl w:ilvl="0" w:tplc="0402000D">
      <w:start w:val="1"/>
      <w:numFmt w:val="bullet"/>
      <w:lvlText w:val=""/>
      <w:lvlJc w:val="left"/>
      <w:pPr>
        <w:ind w:left="1068" w:hanging="360"/>
      </w:pPr>
      <w:rPr>
        <w:rFonts w:ascii="Wingdings" w:hAnsi="Wingding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nsid w:val="0B16712D"/>
    <w:multiLevelType w:val="hybridMultilevel"/>
    <w:tmpl w:val="1940169E"/>
    <w:lvl w:ilvl="0" w:tplc="5CD849D2">
      <w:numFmt w:val="bullet"/>
      <w:lvlText w:val="-"/>
      <w:lvlJc w:val="left"/>
      <w:pPr>
        <w:ind w:left="720" w:hanging="360"/>
      </w:pPr>
      <w:rPr>
        <w:rFonts w:ascii="Verdana" w:eastAsia="Times New Roman"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13B2CF4"/>
    <w:multiLevelType w:val="hybridMultilevel"/>
    <w:tmpl w:val="B0565BCE"/>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17246F63"/>
    <w:multiLevelType w:val="hybridMultilevel"/>
    <w:tmpl w:val="EC96F014"/>
    <w:lvl w:ilvl="0" w:tplc="04020009">
      <w:start w:val="1"/>
      <w:numFmt w:val="bullet"/>
      <w:lvlText w:val=""/>
      <w:lvlJc w:val="left"/>
      <w:pPr>
        <w:ind w:left="1353" w:hanging="360"/>
      </w:pPr>
      <w:rPr>
        <w:rFonts w:ascii="Wingdings" w:hAnsi="Wingding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6">
    <w:nsid w:val="1E9F6066"/>
    <w:multiLevelType w:val="multilevel"/>
    <w:tmpl w:val="9BB293D6"/>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1317DB0"/>
    <w:multiLevelType w:val="hybridMultilevel"/>
    <w:tmpl w:val="5ABC37C4"/>
    <w:lvl w:ilvl="0" w:tplc="04020009">
      <w:start w:val="1"/>
      <w:numFmt w:val="bullet"/>
      <w:lvlText w:val=""/>
      <w:lvlJc w:val="left"/>
      <w:pPr>
        <w:tabs>
          <w:tab w:val="num" w:pos="720"/>
        </w:tabs>
        <w:ind w:left="720" w:hanging="360"/>
      </w:pPr>
      <w:rPr>
        <w:rFonts w:ascii="Wingdings" w:hAnsi="Wingdings" w:hint="default"/>
      </w:rPr>
    </w:lvl>
    <w:lvl w:ilvl="1" w:tplc="4CA25770" w:tentative="1">
      <w:start w:val="1"/>
      <w:numFmt w:val="bullet"/>
      <w:lvlText w:val=""/>
      <w:lvlJc w:val="left"/>
      <w:pPr>
        <w:tabs>
          <w:tab w:val="num" w:pos="1440"/>
        </w:tabs>
        <w:ind w:left="1440" w:hanging="360"/>
      </w:pPr>
      <w:rPr>
        <w:rFonts w:ascii="Wingdings" w:hAnsi="Wingdings" w:hint="default"/>
      </w:rPr>
    </w:lvl>
    <w:lvl w:ilvl="2" w:tplc="E4007806" w:tentative="1">
      <w:start w:val="1"/>
      <w:numFmt w:val="bullet"/>
      <w:lvlText w:val=""/>
      <w:lvlJc w:val="left"/>
      <w:pPr>
        <w:tabs>
          <w:tab w:val="num" w:pos="2160"/>
        </w:tabs>
        <w:ind w:left="2160" w:hanging="360"/>
      </w:pPr>
      <w:rPr>
        <w:rFonts w:ascii="Wingdings" w:hAnsi="Wingdings" w:hint="default"/>
      </w:rPr>
    </w:lvl>
    <w:lvl w:ilvl="3" w:tplc="DD5CC9C6" w:tentative="1">
      <w:start w:val="1"/>
      <w:numFmt w:val="bullet"/>
      <w:lvlText w:val=""/>
      <w:lvlJc w:val="left"/>
      <w:pPr>
        <w:tabs>
          <w:tab w:val="num" w:pos="2880"/>
        </w:tabs>
        <w:ind w:left="2880" w:hanging="360"/>
      </w:pPr>
      <w:rPr>
        <w:rFonts w:ascii="Wingdings" w:hAnsi="Wingdings" w:hint="default"/>
      </w:rPr>
    </w:lvl>
    <w:lvl w:ilvl="4" w:tplc="674AF072" w:tentative="1">
      <w:start w:val="1"/>
      <w:numFmt w:val="bullet"/>
      <w:lvlText w:val=""/>
      <w:lvlJc w:val="left"/>
      <w:pPr>
        <w:tabs>
          <w:tab w:val="num" w:pos="3600"/>
        </w:tabs>
        <w:ind w:left="3600" w:hanging="360"/>
      </w:pPr>
      <w:rPr>
        <w:rFonts w:ascii="Wingdings" w:hAnsi="Wingdings" w:hint="default"/>
      </w:rPr>
    </w:lvl>
    <w:lvl w:ilvl="5" w:tplc="FC3405CE" w:tentative="1">
      <w:start w:val="1"/>
      <w:numFmt w:val="bullet"/>
      <w:lvlText w:val=""/>
      <w:lvlJc w:val="left"/>
      <w:pPr>
        <w:tabs>
          <w:tab w:val="num" w:pos="4320"/>
        </w:tabs>
        <w:ind w:left="4320" w:hanging="360"/>
      </w:pPr>
      <w:rPr>
        <w:rFonts w:ascii="Wingdings" w:hAnsi="Wingdings" w:hint="default"/>
      </w:rPr>
    </w:lvl>
    <w:lvl w:ilvl="6" w:tplc="E9D0522E" w:tentative="1">
      <w:start w:val="1"/>
      <w:numFmt w:val="bullet"/>
      <w:lvlText w:val=""/>
      <w:lvlJc w:val="left"/>
      <w:pPr>
        <w:tabs>
          <w:tab w:val="num" w:pos="5040"/>
        </w:tabs>
        <w:ind w:left="5040" w:hanging="360"/>
      </w:pPr>
      <w:rPr>
        <w:rFonts w:ascii="Wingdings" w:hAnsi="Wingdings" w:hint="default"/>
      </w:rPr>
    </w:lvl>
    <w:lvl w:ilvl="7" w:tplc="109216EE" w:tentative="1">
      <w:start w:val="1"/>
      <w:numFmt w:val="bullet"/>
      <w:lvlText w:val=""/>
      <w:lvlJc w:val="left"/>
      <w:pPr>
        <w:tabs>
          <w:tab w:val="num" w:pos="5760"/>
        </w:tabs>
        <w:ind w:left="5760" w:hanging="360"/>
      </w:pPr>
      <w:rPr>
        <w:rFonts w:ascii="Wingdings" w:hAnsi="Wingdings" w:hint="default"/>
      </w:rPr>
    </w:lvl>
    <w:lvl w:ilvl="8" w:tplc="F0D0247C" w:tentative="1">
      <w:start w:val="1"/>
      <w:numFmt w:val="bullet"/>
      <w:lvlText w:val=""/>
      <w:lvlJc w:val="left"/>
      <w:pPr>
        <w:tabs>
          <w:tab w:val="num" w:pos="6480"/>
        </w:tabs>
        <w:ind w:left="6480" w:hanging="360"/>
      </w:pPr>
      <w:rPr>
        <w:rFonts w:ascii="Wingdings" w:hAnsi="Wingdings" w:hint="default"/>
      </w:rPr>
    </w:lvl>
  </w:abstractNum>
  <w:abstractNum w:abstractNumId="8">
    <w:nsid w:val="23B3475A"/>
    <w:multiLevelType w:val="hybridMultilevel"/>
    <w:tmpl w:val="2626D6F0"/>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4520E1F"/>
    <w:multiLevelType w:val="hybridMultilevel"/>
    <w:tmpl w:val="D194B54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7AE7D8F"/>
    <w:multiLevelType w:val="hybridMultilevel"/>
    <w:tmpl w:val="322C33F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9893697"/>
    <w:multiLevelType w:val="hybridMultilevel"/>
    <w:tmpl w:val="FC9A3696"/>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2">
    <w:nsid w:val="29AF589C"/>
    <w:multiLevelType w:val="hybridMultilevel"/>
    <w:tmpl w:val="1504AFF0"/>
    <w:lvl w:ilvl="0" w:tplc="2940D8D6">
      <w:start w:val="1"/>
      <w:numFmt w:val="decimal"/>
      <w:lvlText w:val="%1."/>
      <w:lvlJc w:val="left"/>
      <w:pPr>
        <w:ind w:left="1068" w:hanging="360"/>
      </w:pPr>
      <w:rPr>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nsid w:val="34654A25"/>
    <w:multiLevelType w:val="hybridMultilevel"/>
    <w:tmpl w:val="08BA3C0C"/>
    <w:lvl w:ilvl="0" w:tplc="12C8E71C">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E63EF7"/>
    <w:multiLevelType w:val="hybridMultilevel"/>
    <w:tmpl w:val="2C1A6870"/>
    <w:lvl w:ilvl="0" w:tplc="E7A6649A">
      <w:start w:val="1"/>
      <w:numFmt w:val="decimal"/>
      <w:lvlText w:val="%1."/>
      <w:lvlJc w:val="left"/>
      <w:pPr>
        <w:ind w:left="720" w:hanging="360"/>
      </w:pPr>
      <w:rPr>
        <w:b/>
      </w:rPr>
    </w:lvl>
    <w:lvl w:ilvl="1" w:tplc="0402000D">
      <w:start w:val="1"/>
      <w:numFmt w:val="bullet"/>
      <w:lvlText w:val=""/>
      <w:lvlJc w:val="left"/>
      <w:pPr>
        <w:ind w:left="1440" w:hanging="360"/>
      </w:pPr>
      <w:rPr>
        <w:rFonts w:ascii="Wingdings" w:hAnsi="Wingding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91B1329"/>
    <w:multiLevelType w:val="hybridMultilevel"/>
    <w:tmpl w:val="77E4DF3A"/>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6">
    <w:nsid w:val="4134175B"/>
    <w:multiLevelType w:val="hybridMultilevel"/>
    <w:tmpl w:val="79CAA648"/>
    <w:lvl w:ilvl="0" w:tplc="04020009">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17">
    <w:nsid w:val="41B03BE0"/>
    <w:multiLevelType w:val="hybridMultilevel"/>
    <w:tmpl w:val="5BE4A0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3636088"/>
    <w:multiLevelType w:val="hybridMultilevel"/>
    <w:tmpl w:val="04D6D37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46C94EBF"/>
    <w:multiLevelType w:val="hybridMultilevel"/>
    <w:tmpl w:val="1C8C982C"/>
    <w:lvl w:ilvl="0" w:tplc="647659B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0">
    <w:nsid w:val="4D103566"/>
    <w:multiLevelType w:val="hybridMultilevel"/>
    <w:tmpl w:val="9204249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4F1C3466"/>
    <w:multiLevelType w:val="hybridMultilevel"/>
    <w:tmpl w:val="C89454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52AC683A"/>
    <w:multiLevelType w:val="hybridMultilevel"/>
    <w:tmpl w:val="7F52152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583B070C"/>
    <w:multiLevelType w:val="hybridMultilevel"/>
    <w:tmpl w:val="F196A4F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B4D6FBB"/>
    <w:multiLevelType w:val="hybridMultilevel"/>
    <w:tmpl w:val="CF96503C"/>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16"/>
  </w:num>
  <w:num w:numId="2">
    <w:abstractNumId w:val="13"/>
  </w:num>
  <w:num w:numId="3">
    <w:abstractNumId w:val="1"/>
  </w:num>
  <w:num w:numId="4">
    <w:abstractNumId w:val="24"/>
  </w:num>
  <w:num w:numId="5">
    <w:abstractNumId w:val="23"/>
  </w:num>
  <w:num w:numId="6">
    <w:abstractNumId w:val="21"/>
  </w:num>
  <w:num w:numId="7">
    <w:abstractNumId w:val="3"/>
  </w:num>
  <w:num w:numId="8">
    <w:abstractNumId w:val="18"/>
  </w:num>
  <w:num w:numId="9">
    <w:abstractNumId w:val="10"/>
  </w:num>
  <w:num w:numId="10">
    <w:abstractNumId w:val="20"/>
  </w:num>
  <w:num w:numId="11">
    <w:abstractNumId w:val="0"/>
  </w:num>
  <w:num w:numId="12">
    <w:abstractNumId w:val="17"/>
  </w:num>
  <w:num w:numId="13">
    <w:abstractNumId w:val="8"/>
  </w:num>
  <w:num w:numId="14">
    <w:abstractNumId w:val="7"/>
  </w:num>
  <w:num w:numId="15">
    <w:abstractNumId w:val="6"/>
  </w:num>
  <w:num w:numId="16">
    <w:abstractNumId w:val="5"/>
  </w:num>
  <w:num w:numId="17">
    <w:abstractNumId w:val="14"/>
  </w:num>
  <w:num w:numId="18">
    <w:abstractNumId w:val="12"/>
  </w:num>
  <w:num w:numId="19">
    <w:abstractNumId w:val="2"/>
  </w:num>
  <w:num w:numId="20">
    <w:abstractNumId w:val="4"/>
  </w:num>
  <w:num w:numId="21">
    <w:abstractNumId w:val="15"/>
  </w:num>
  <w:num w:numId="22">
    <w:abstractNumId w:val="19"/>
  </w:num>
  <w:num w:numId="23">
    <w:abstractNumId w:val="22"/>
  </w:num>
  <w:num w:numId="24">
    <w:abstractNumId w:val="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858"/>
    <w:rsid w:val="0043308A"/>
    <w:rsid w:val="00547858"/>
    <w:rsid w:val="00711051"/>
    <w:rsid w:val="00C074D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5D7FA6-3E9E-4112-B5B7-F606EE61A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11051"/>
    <w:pPr>
      <w:spacing w:after="0" w:line="240" w:lineRule="auto"/>
    </w:pPr>
    <w:rPr>
      <w:rFonts w:ascii="Calibri" w:eastAsia="Times New Roman" w:hAnsi="Calibri" w:cs="Times New Roman"/>
      <w:sz w:val="20"/>
      <w:szCs w:val="20"/>
      <w:lang w:eastAsia="bg-BG"/>
    </w:rPr>
  </w:style>
  <w:style w:type="character" w:customStyle="1" w:styleId="a4">
    <w:name w:val="Текст под линия Знак"/>
    <w:basedOn w:val="a0"/>
    <w:link w:val="a3"/>
    <w:uiPriority w:val="99"/>
    <w:semiHidden/>
    <w:rsid w:val="00711051"/>
    <w:rPr>
      <w:rFonts w:ascii="Calibri" w:eastAsia="Times New Roman" w:hAnsi="Calibri" w:cs="Times New Roman"/>
      <w:sz w:val="20"/>
      <w:szCs w:val="20"/>
      <w:lang w:eastAsia="bg-BG"/>
    </w:rPr>
  </w:style>
  <w:style w:type="character" w:styleId="a5">
    <w:name w:val="footnote reference"/>
    <w:uiPriority w:val="99"/>
    <w:semiHidden/>
    <w:unhideWhenUsed/>
    <w:rsid w:val="00711051"/>
    <w:rPr>
      <w:vertAlign w:val="superscript"/>
    </w:rPr>
  </w:style>
  <w:style w:type="paragraph" w:styleId="a6">
    <w:name w:val="List Paragraph"/>
    <w:aliases w:val="List1"/>
    <w:basedOn w:val="a"/>
    <w:link w:val="a7"/>
    <w:uiPriority w:val="34"/>
    <w:qFormat/>
    <w:rsid w:val="00711051"/>
    <w:pPr>
      <w:ind w:left="720"/>
      <w:contextualSpacing/>
    </w:pPr>
    <w:rPr>
      <w:rFonts w:ascii="Calibri" w:eastAsia="Times New Roman" w:hAnsi="Calibri" w:cs="Times New Roman"/>
      <w:lang w:eastAsia="bg-BG"/>
    </w:rPr>
  </w:style>
  <w:style w:type="character" w:customStyle="1" w:styleId="a7">
    <w:name w:val="Списък на абзаци Знак"/>
    <w:aliases w:val="List1 Знак"/>
    <w:link w:val="a6"/>
    <w:uiPriority w:val="34"/>
    <w:locked/>
    <w:rsid w:val="00711051"/>
    <w:rPr>
      <w:rFonts w:ascii="Calibri" w:eastAsia="Times New Roman" w:hAnsi="Calibri" w:cs="Times New Roman"/>
      <w:lang w:eastAsia="bg-BG"/>
    </w:rPr>
  </w:style>
  <w:style w:type="paragraph" w:styleId="a8">
    <w:name w:val="No Spacing"/>
    <w:link w:val="a9"/>
    <w:uiPriority w:val="1"/>
    <w:qFormat/>
    <w:rsid w:val="00711051"/>
    <w:pPr>
      <w:spacing w:after="0" w:line="240" w:lineRule="auto"/>
    </w:pPr>
    <w:rPr>
      <w:rFonts w:ascii="Calibri" w:eastAsia="Times New Roman" w:hAnsi="Calibri" w:cs="Times New Roman"/>
      <w:lang w:val="en-US"/>
    </w:rPr>
  </w:style>
  <w:style w:type="character" w:customStyle="1" w:styleId="a9">
    <w:name w:val="Без разредка Знак"/>
    <w:link w:val="a8"/>
    <w:uiPriority w:val="1"/>
    <w:rsid w:val="00711051"/>
    <w:rPr>
      <w:rFonts w:ascii="Calibri" w:eastAsia="Times New Roman" w:hAnsi="Calibri" w:cs="Times New Roman"/>
      <w:lang w:val="en-US"/>
    </w:rPr>
  </w:style>
  <w:style w:type="character" w:customStyle="1" w:styleId="Bodytext2">
    <w:name w:val="Body text (2)_"/>
    <w:link w:val="Bodytext20"/>
    <w:locked/>
    <w:rsid w:val="00711051"/>
    <w:rPr>
      <w:shd w:val="clear" w:color="auto" w:fill="FFFFFF"/>
    </w:rPr>
  </w:style>
  <w:style w:type="paragraph" w:customStyle="1" w:styleId="Bodytext20">
    <w:name w:val="Body text (2)"/>
    <w:basedOn w:val="a"/>
    <w:link w:val="Bodytext2"/>
    <w:rsid w:val="00711051"/>
    <w:pPr>
      <w:widowControl w:val="0"/>
      <w:shd w:val="clear" w:color="auto" w:fill="FFFFFF"/>
      <w:spacing w:after="180" w:line="238" w:lineRule="exac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em.bg/files/1733755791_preporaka_ekranno_vrem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en.wikipedia.org/wiki/File:Coin-cells.jpg" TargetMode="External"/><Relationship Id="rId14" Type="http://schemas.openxmlformats.org/officeDocument/2006/relationships/image" Target="media/image7.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12993</Words>
  <Characters>74064</Characters>
  <Application>Microsoft Office Word</Application>
  <DocSecurity>0</DocSecurity>
  <Lines>617</Lines>
  <Paragraphs>173</Paragraphs>
  <ScaleCrop>false</ScaleCrop>
  <Company/>
  <LinksUpToDate>false</LinksUpToDate>
  <CharactersWithSpaces>86884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2026-07-07T09:54:00Z</dcterms:created>
  <dcterms:modified xsi:type="dcterms:W3CDTF">2026-07-07T09:55:00Z</dcterms:modified>
</cp:coreProperties>
</file>